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6421" w14:textId="74BE62A0" w:rsidR="00C83962" w:rsidRPr="00A96459" w:rsidRDefault="007E52EE" w:rsidP="00637240">
      <w:pPr>
        <w:spacing w:before="100" w:beforeAutospacing="1" w:after="100" w:afterAutospacing="1" w:line="276" w:lineRule="auto"/>
        <w:jc w:val="both"/>
        <w:rPr>
          <w:b/>
          <w:bCs/>
          <w:color w:val="FFFFFF" w:themeColor="background1"/>
          <w:sz w:val="48"/>
          <w:szCs w:val="48"/>
          <w:lang w:val="cs-CZ"/>
        </w:rPr>
      </w:pPr>
      <w:r w:rsidRPr="00A96459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Jak nepřicházet o peníze: efektivní komunikace s využitím digitálních nástrojů jako</w:t>
      </w:r>
      <w:r w:rsidRPr="00A96459">
        <w:rPr>
          <w:b/>
          <w:bCs/>
          <w:color w:val="FFFFFF" w:themeColor="background1"/>
          <w:sz w:val="48"/>
          <w:szCs w:val="48"/>
          <w:lang w:val="cs-CZ"/>
        </w:rPr>
        <w:t xml:space="preserve"> </w:t>
      </w:r>
      <w:r w:rsidRPr="00A96459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c</w:t>
      </w:r>
      <w:r w:rsidR="00957A56" w:rsidRPr="00A96459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esta k úspěšnému řízení stavebních projektů </w:t>
      </w:r>
    </w:p>
    <w:p w14:paraId="0483164E" w14:textId="6476B9D5" w:rsidR="00EB3EB6" w:rsidRPr="00A96459" w:rsidRDefault="00637240" w:rsidP="00EB3EB6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 xml:space="preserve">Praha, 6. ledna 2025 – </w:t>
      </w:r>
      <w:r w:rsidR="005F3831" w:rsidRPr="00A96459">
        <w:rPr>
          <w:rFonts w:ascii="Lato-Light" w:hAnsi="Lato-Light" w:cs="Lato-Light"/>
          <w:lang w:val="cs-CZ"/>
        </w:rPr>
        <w:t>Na</w:t>
      </w:r>
      <w:r w:rsidR="00DC4A37" w:rsidRPr="00A96459">
        <w:rPr>
          <w:rFonts w:ascii="Lato-Light" w:hAnsi="Lato-Light" w:cs="Lato-Light"/>
          <w:lang w:val="cs-CZ"/>
        </w:rPr>
        <w:t xml:space="preserve"> </w:t>
      </w:r>
      <w:r w:rsidR="000163EA" w:rsidRPr="00A96459">
        <w:rPr>
          <w:rFonts w:ascii="Lato-Light" w:hAnsi="Lato-Light" w:cs="Lato-Light"/>
          <w:lang w:val="cs-CZ"/>
        </w:rPr>
        <w:t>celé</w:t>
      </w:r>
      <w:r w:rsidR="005F3831" w:rsidRPr="00A96459">
        <w:rPr>
          <w:rFonts w:ascii="Lato-Light" w:hAnsi="Lato-Light" w:cs="Lato-Light"/>
          <w:lang w:val="cs-CZ"/>
        </w:rPr>
        <w:t>m</w:t>
      </w:r>
      <w:r w:rsidR="000163EA" w:rsidRPr="00A96459">
        <w:rPr>
          <w:rFonts w:ascii="Lato-Light" w:hAnsi="Lato-Light" w:cs="Lato-Light"/>
          <w:lang w:val="cs-CZ"/>
        </w:rPr>
        <w:t xml:space="preserve"> </w:t>
      </w:r>
      <w:r w:rsidR="00BE7084" w:rsidRPr="00A96459">
        <w:rPr>
          <w:rFonts w:ascii="Lato-Light" w:hAnsi="Lato-Light" w:cs="Lato-Light"/>
          <w:lang w:val="cs-CZ"/>
        </w:rPr>
        <w:t>životní</w:t>
      </w:r>
      <w:r w:rsidR="003B0A95" w:rsidRPr="00A96459">
        <w:rPr>
          <w:rFonts w:ascii="Lato-Light" w:hAnsi="Lato-Light" w:cs="Lato-Light"/>
          <w:lang w:val="cs-CZ"/>
        </w:rPr>
        <w:t>m</w:t>
      </w:r>
      <w:r w:rsidR="00BE7084" w:rsidRPr="00A96459">
        <w:rPr>
          <w:rFonts w:ascii="Lato-Light" w:hAnsi="Lato-Light" w:cs="Lato-Light"/>
          <w:lang w:val="cs-CZ"/>
        </w:rPr>
        <w:t xml:space="preserve"> cyklu budov</w:t>
      </w:r>
      <w:r w:rsidR="005D2E1D" w:rsidRPr="00A96459">
        <w:rPr>
          <w:rFonts w:ascii="Lato-Light" w:hAnsi="Lato-Light" w:cs="Lato-Light"/>
          <w:lang w:val="cs-CZ"/>
        </w:rPr>
        <w:t xml:space="preserve">, </w:t>
      </w:r>
      <w:r w:rsidR="000163EA" w:rsidRPr="00A96459">
        <w:rPr>
          <w:rFonts w:ascii="Lato-Light" w:hAnsi="Lato-Light" w:cs="Lato-Light"/>
          <w:lang w:val="cs-CZ"/>
        </w:rPr>
        <w:t>od</w:t>
      </w:r>
      <w:r w:rsidR="00965280" w:rsidRPr="00A96459">
        <w:rPr>
          <w:rFonts w:ascii="Lato-Light" w:hAnsi="Lato-Light" w:cs="Lato-Light"/>
          <w:lang w:val="cs-CZ"/>
        </w:rPr>
        <w:t xml:space="preserve"> </w:t>
      </w:r>
      <w:r w:rsidR="00DC4A37" w:rsidRPr="00A96459">
        <w:rPr>
          <w:rFonts w:ascii="Lato-Light" w:hAnsi="Lato-Light" w:cs="Lato-Light"/>
          <w:lang w:val="cs-CZ"/>
        </w:rPr>
        <w:t>přípravy výstavb</w:t>
      </w:r>
      <w:r w:rsidR="009C420D" w:rsidRPr="00A96459">
        <w:rPr>
          <w:rFonts w:ascii="Lato-Light" w:hAnsi="Lato-Light" w:cs="Lato-Light"/>
          <w:lang w:val="cs-CZ"/>
        </w:rPr>
        <w:t>y projektu</w:t>
      </w:r>
      <w:r w:rsidR="00965280" w:rsidRPr="00A96459">
        <w:rPr>
          <w:rFonts w:ascii="Lato-Light" w:hAnsi="Lato-Light" w:cs="Lato-Light"/>
          <w:lang w:val="cs-CZ"/>
        </w:rPr>
        <w:t xml:space="preserve"> přes </w:t>
      </w:r>
      <w:r w:rsidR="009C420D" w:rsidRPr="00A96459">
        <w:rPr>
          <w:rFonts w:ascii="Lato-Light" w:hAnsi="Lato-Light" w:cs="Lato-Light"/>
          <w:lang w:val="cs-CZ"/>
        </w:rPr>
        <w:t>je</w:t>
      </w:r>
      <w:r w:rsidR="00202D76" w:rsidRPr="00A96459">
        <w:rPr>
          <w:rFonts w:ascii="Lato-Light" w:hAnsi="Lato-Light" w:cs="Lato-Light"/>
          <w:lang w:val="cs-CZ"/>
        </w:rPr>
        <w:t>ho</w:t>
      </w:r>
      <w:r w:rsidR="009C420D" w:rsidRPr="00A96459">
        <w:rPr>
          <w:rFonts w:ascii="Lato-Light" w:hAnsi="Lato-Light" w:cs="Lato-Light"/>
          <w:lang w:val="cs-CZ"/>
        </w:rPr>
        <w:t xml:space="preserve"> realizac</w:t>
      </w:r>
      <w:r w:rsidR="00965280" w:rsidRPr="00A96459">
        <w:rPr>
          <w:rFonts w:ascii="Lato-Light" w:hAnsi="Lato-Light" w:cs="Lato-Light"/>
          <w:lang w:val="cs-CZ"/>
        </w:rPr>
        <w:t>i</w:t>
      </w:r>
      <w:r w:rsidR="009C420D" w:rsidRPr="00A96459">
        <w:rPr>
          <w:rFonts w:ascii="Lato-Light" w:hAnsi="Lato-Light" w:cs="Lato-Light"/>
          <w:lang w:val="cs-CZ"/>
        </w:rPr>
        <w:t xml:space="preserve"> </w:t>
      </w:r>
      <w:r w:rsidR="00965280" w:rsidRPr="00A96459">
        <w:rPr>
          <w:rFonts w:ascii="Lato-Light" w:hAnsi="Lato-Light" w:cs="Lato-Light"/>
          <w:lang w:val="cs-CZ"/>
        </w:rPr>
        <w:t xml:space="preserve">až po </w:t>
      </w:r>
      <w:r w:rsidR="009C420D" w:rsidRPr="00A96459">
        <w:rPr>
          <w:rFonts w:ascii="Lato-Light" w:hAnsi="Lato-Light" w:cs="Lato-Light"/>
          <w:lang w:val="cs-CZ"/>
        </w:rPr>
        <w:t>následn</w:t>
      </w:r>
      <w:r w:rsidR="00965280" w:rsidRPr="00A96459">
        <w:rPr>
          <w:rFonts w:ascii="Lato-Light" w:hAnsi="Lato-Light" w:cs="Lato-Light"/>
          <w:lang w:val="cs-CZ"/>
        </w:rPr>
        <w:t>ý</w:t>
      </w:r>
      <w:r w:rsidR="009C420D" w:rsidRPr="00A96459">
        <w:rPr>
          <w:rFonts w:ascii="Lato-Light" w:hAnsi="Lato-Light" w:cs="Lato-Light"/>
          <w:lang w:val="cs-CZ"/>
        </w:rPr>
        <w:t xml:space="preserve"> provoz</w:t>
      </w:r>
      <w:r w:rsidR="00202D76" w:rsidRPr="00A96459">
        <w:rPr>
          <w:rFonts w:ascii="Lato-Light" w:hAnsi="Lato-Light" w:cs="Lato-Light"/>
          <w:lang w:val="cs-CZ"/>
        </w:rPr>
        <w:t xml:space="preserve"> </w:t>
      </w:r>
      <w:r w:rsidR="003B0A95" w:rsidRPr="00A96459">
        <w:rPr>
          <w:rFonts w:ascii="Lato-Light" w:hAnsi="Lato-Light" w:cs="Lato-Light"/>
          <w:lang w:val="cs-CZ"/>
        </w:rPr>
        <w:t>objektu</w:t>
      </w:r>
      <w:r w:rsidR="005D2E1D" w:rsidRPr="00A96459">
        <w:rPr>
          <w:rFonts w:ascii="Lato-Light" w:hAnsi="Lato-Light" w:cs="Lato-Light"/>
          <w:lang w:val="cs-CZ"/>
        </w:rPr>
        <w:t xml:space="preserve">, </w:t>
      </w:r>
      <w:r w:rsidR="005F3831" w:rsidRPr="00A96459">
        <w:rPr>
          <w:rFonts w:ascii="Lato-Light" w:hAnsi="Lato-Light" w:cs="Lato-Light"/>
          <w:lang w:val="cs-CZ"/>
        </w:rPr>
        <w:t xml:space="preserve">se podílí velké množství </w:t>
      </w:r>
      <w:r w:rsidR="00CF2257" w:rsidRPr="00A96459">
        <w:rPr>
          <w:rFonts w:ascii="Lato-Light" w:hAnsi="Lato-Light" w:cs="Lato-Light"/>
          <w:lang w:val="cs-CZ"/>
        </w:rPr>
        <w:t xml:space="preserve">nejrůznějších </w:t>
      </w:r>
      <w:r w:rsidR="005D4E1E" w:rsidRPr="00A96459">
        <w:rPr>
          <w:rFonts w:ascii="Lato-Light" w:hAnsi="Lato-Light" w:cs="Lato-Light"/>
          <w:lang w:val="cs-CZ"/>
        </w:rPr>
        <w:t>firem a</w:t>
      </w:r>
      <w:r w:rsidR="00CF2257" w:rsidRPr="00A96459">
        <w:rPr>
          <w:rFonts w:ascii="Lato-Light" w:hAnsi="Lato-Light" w:cs="Lato-Light"/>
          <w:lang w:val="cs-CZ"/>
        </w:rPr>
        <w:t xml:space="preserve"> dodavatelů. </w:t>
      </w:r>
      <w:r w:rsidR="006B3624" w:rsidRPr="00A96459">
        <w:rPr>
          <w:rFonts w:ascii="Lato-Light" w:hAnsi="Lato-Light" w:cs="Lato-Light"/>
          <w:lang w:val="cs-CZ"/>
        </w:rPr>
        <w:t>Klíčovou roli v tom, a</w:t>
      </w:r>
      <w:r w:rsidR="00B30EC4" w:rsidRPr="00A96459">
        <w:rPr>
          <w:rFonts w:ascii="Lato-Light" w:hAnsi="Lato-Light" w:cs="Lato-Light"/>
          <w:lang w:val="cs-CZ"/>
        </w:rPr>
        <w:t xml:space="preserve">by vše fungovalo </w:t>
      </w:r>
      <w:r w:rsidR="00143E0A" w:rsidRPr="00A96459">
        <w:rPr>
          <w:rFonts w:ascii="Lato-Light" w:hAnsi="Lato-Light" w:cs="Lato-Light"/>
          <w:lang w:val="cs-CZ"/>
        </w:rPr>
        <w:t>opravdu efektivně</w:t>
      </w:r>
      <w:r w:rsidR="004F1920" w:rsidRPr="00A96459">
        <w:rPr>
          <w:rFonts w:ascii="Lato-Light" w:hAnsi="Lato-Light" w:cs="Lato-Light"/>
          <w:lang w:val="cs-CZ"/>
        </w:rPr>
        <w:t xml:space="preserve">, je </w:t>
      </w:r>
      <w:r w:rsidR="00372331" w:rsidRPr="00A96459">
        <w:rPr>
          <w:rFonts w:ascii="Lato-Light" w:hAnsi="Lato-Light" w:cs="Lato-Light"/>
          <w:lang w:val="cs-CZ"/>
        </w:rPr>
        <w:t xml:space="preserve">dobrá </w:t>
      </w:r>
      <w:r w:rsidR="00361B96" w:rsidRPr="00A96459">
        <w:rPr>
          <w:rFonts w:ascii="Lato-Light" w:hAnsi="Lato-Light" w:cs="Lato-Light"/>
          <w:lang w:val="cs-CZ"/>
        </w:rPr>
        <w:t>spolupráce</w:t>
      </w:r>
      <w:r w:rsidR="0070338D" w:rsidRPr="00A96459">
        <w:rPr>
          <w:rFonts w:ascii="Lato-Light" w:hAnsi="Lato-Light" w:cs="Lato-Light"/>
          <w:lang w:val="cs-CZ"/>
        </w:rPr>
        <w:t xml:space="preserve"> mezi všemi</w:t>
      </w:r>
      <w:r w:rsidR="009951AC" w:rsidRPr="00A96459">
        <w:rPr>
          <w:rFonts w:ascii="Lato-Light" w:hAnsi="Lato-Light" w:cs="Lato-Light"/>
          <w:lang w:val="cs-CZ"/>
        </w:rPr>
        <w:t xml:space="preserve"> stranami, které se na</w:t>
      </w:r>
      <w:r w:rsidR="0070338D" w:rsidRPr="00A96459">
        <w:rPr>
          <w:rFonts w:ascii="Lato-Light" w:hAnsi="Lato-Light" w:cs="Lato-Light"/>
          <w:lang w:val="cs-CZ"/>
        </w:rPr>
        <w:t xml:space="preserve"> projektu</w:t>
      </w:r>
      <w:r w:rsidR="009951AC" w:rsidRPr="00A96459">
        <w:rPr>
          <w:rFonts w:ascii="Lato-Light" w:hAnsi="Lato-Light" w:cs="Lato-Light"/>
          <w:lang w:val="cs-CZ"/>
        </w:rPr>
        <w:t xml:space="preserve"> podílejí</w:t>
      </w:r>
      <w:r w:rsidR="000C10B5" w:rsidRPr="00A96459">
        <w:rPr>
          <w:rFonts w:ascii="Lato-Light" w:hAnsi="Lato-Light" w:cs="Lato-Light"/>
          <w:lang w:val="cs-CZ"/>
        </w:rPr>
        <w:t>.</w:t>
      </w:r>
      <w:r w:rsidR="0070338D" w:rsidRPr="00A96459">
        <w:rPr>
          <w:rFonts w:ascii="Lato-Light" w:hAnsi="Lato-Light" w:cs="Lato-Light"/>
          <w:lang w:val="cs-CZ"/>
        </w:rPr>
        <w:t xml:space="preserve"> </w:t>
      </w:r>
      <w:r w:rsidR="009951AC" w:rsidRPr="00A96459">
        <w:rPr>
          <w:rFonts w:ascii="Lato-Light" w:hAnsi="Lato-Light" w:cs="Lato-Light"/>
          <w:lang w:val="cs-CZ"/>
        </w:rPr>
        <w:t>Je to však p</w:t>
      </w:r>
      <w:r w:rsidR="00337C86" w:rsidRPr="00A96459">
        <w:rPr>
          <w:rFonts w:ascii="Lato-Light" w:hAnsi="Lato-Light" w:cs="Lato-Light"/>
          <w:lang w:val="cs-CZ"/>
        </w:rPr>
        <w:t xml:space="preserve">rávě </w:t>
      </w:r>
      <w:r w:rsidRPr="00A96459">
        <w:rPr>
          <w:rFonts w:ascii="Lato-Light" w:hAnsi="Lato-Light" w:cs="Lato-Light"/>
          <w:lang w:val="cs-CZ"/>
        </w:rPr>
        <w:t>nedostatečná komunikace</w:t>
      </w:r>
      <w:r w:rsidR="009951AC" w:rsidRPr="00A96459">
        <w:rPr>
          <w:rFonts w:ascii="Lato-Light" w:hAnsi="Lato-Light" w:cs="Lato-Light"/>
          <w:lang w:val="cs-CZ"/>
        </w:rPr>
        <w:t>, která ve stavebnictví</w:t>
      </w:r>
      <w:r w:rsidR="00F41588" w:rsidRPr="00A96459">
        <w:rPr>
          <w:rFonts w:ascii="Lato-Light" w:hAnsi="Lato-Light" w:cs="Lato-Light"/>
          <w:lang w:val="cs-CZ"/>
        </w:rPr>
        <w:t xml:space="preserve"> </w:t>
      </w:r>
      <w:r w:rsidRPr="00A96459">
        <w:rPr>
          <w:rFonts w:ascii="Lato-Light" w:hAnsi="Lato-Light" w:cs="Lato-Light"/>
          <w:lang w:val="cs-CZ"/>
        </w:rPr>
        <w:t>zůstává jedním z</w:t>
      </w:r>
      <w:r w:rsidR="00BF71A0" w:rsidRPr="00A96459">
        <w:rPr>
          <w:rFonts w:ascii="Lato-Light" w:hAnsi="Lato-Light" w:cs="Lato-Light"/>
          <w:lang w:val="cs-CZ"/>
        </w:rPr>
        <w:t> </w:t>
      </w:r>
      <w:r w:rsidRPr="00A96459">
        <w:rPr>
          <w:rFonts w:ascii="Lato-Light" w:hAnsi="Lato-Light" w:cs="Lato-Light"/>
          <w:lang w:val="cs-CZ"/>
        </w:rPr>
        <w:t>největších problémů. Jak ukazují zkušenosti společnosti PlanRadar, přední platformy pro digitální dokumentaci, komunikaci a reporting během výstavby a</w:t>
      </w:r>
      <w:r w:rsidR="00BF71A0" w:rsidRPr="00A96459">
        <w:rPr>
          <w:rFonts w:ascii="Lato-Light" w:hAnsi="Lato-Light" w:cs="Lato-Light"/>
          <w:lang w:val="cs-CZ"/>
        </w:rPr>
        <w:t> </w:t>
      </w:r>
      <w:r w:rsidRPr="00A96459">
        <w:rPr>
          <w:rFonts w:ascii="Lato-Light" w:hAnsi="Lato-Light" w:cs="Lato-Light"/>
          <w:lang w:val="cs-CZ"/>
        </w:rPr>
        <w:t xml:space="preserve">správy nemovitostí, </w:t>
      </w:r>
      <w:r w:rsidR="007B173B" w:rsidRPr="00A96459">
        <w:rPr>
          <w:rFonts w:ascii="Lato-Light" w:hAnsi="Lato-Light" w:cs="Lato-Light"/>
          <w:lang w:val="cs-CZ"/>
        </w:rPr>
        <w:t xml:space="preserve">špatná </w:t>
      </w:r>
      <w:r w:rsidR="00736A46" w:rsidRPr="00A96459">
        <w:rPr>
          <w:rFonts w:ascii="Lato-Light" w:hAnsi="Lato-Light" w:cs="Lato-Light"/>
          <w:lang w:val="cs-CZ"/>
        </w:rPr>
        <w:t>výměna informací</w:t>
      </w:r>
      <w:r w:rsidR="00384521" w:rsidRPr="00A96459">
        <w:rPr>
          <w:rFonts w:ascii="Lato-Light" w:hAnsi="Lato-Light" w:cs="Lato-Light"/>
          <w:lang w:val="cs-CZ"/>
        </w:rPr>
        <w:t xml:space="preserve"> vede</w:t>
      </w:r>
      <w:r w:rsidR="007B173B" w:rsidRPr="00A96459">
        <w:rPr>
          <w:rFonts w:ascii="Lato-Light" w:hAnsi="Lato-Light" w:cs="Lato-Light"/>
          <w:lang w:val="cs-CZ"/>
        </w:rPr>
        <w:t xml:space="preserve"> ke zpožděním, dodatečným </w:t>
      </w:r>
      <w:r w:rsidR="00295DBB" w:rsidRPr="00A96459">
        <w:rPr>
          <w:rFonts w:ascii="Lato-Light" w:hAnsi="Lato-Light" w:cs="Lato-Light"/>
          <w:lang w:val="cs-CZ"/>
        </w:rPr>
        <w:t>více</w:t>
      </w:r>
      <w:r w:rsidR="007B173B" w:rsidRPr="00A96459">
        <w:rPr>
          <w:rFonts w:ascii="Lato-Light" w:hAnsi="Lato-Light" w:cs="Lato-Light"/>
          <w:lang w:val="cs-CZ"/>
        </w:rPr>
        <w:t>nákladům a</w:t>
      </w:r>
      <w:r w:rsidR="00BF71A0" w:rsidRPr="00A96459">
        <w:rPr>
          <w:rFonts w:ascii="Lato-Light" w:hAnsi="Lato-Light" w:cs="Lato-Light"/>
          <w:lang w:val="cs-CZ"/>
        </w:rPr>
        <w:t> </w:t>
      </w:r>
      <w:r w:rsidR="007B173B" w:rsidRPr="00A96459">
        <w:rPr>
          <w:rFonts w:ascii="Lato-Light" w:hAnsi="Lato-Light" w:cs="Lato-Light"/>
          <w:lang w:val="cs-CZ"/>
        </w:rPr>
        <w:t>dalším komplikacím. Nejasně nastavené procesy, nedostatečná dokumentace či</w:t>
      </w:r>
      <w:r w:rsidR="00BF71A0" w:rsidRPr="00A96459">
        <w:rPr>
          <w:rFonts w:ascii="Lato-Light" w:hAnsi="Lato-Light" w:cs="Lato-Light"/>
          <w:lang w:val="cs-CZ"/>
        </w:rPr>
        <w:t> </w:t>
      </w:r>
      <w:r w:rsidR="007B173B" w:rsidRPr="00A96459">
        <w:rPr>
          <w:rFonts w:ascii="Lato-Light" w:hAnsi="Lato-Light" w:cs="Lato-Light"/>
          <w:lang w:val="cs-CZ"/>
        </w:rPr>
        <w:t xml:space="preserve">chybějící vymezení odpovědností pak mohou mít za následek </w:t>
      </w:r>
      <w:r w:rsidR="008B0299" w:rsidRPr="00A96459">
        <w:rPr>
          <w:rFonts w:ascii="Lato-Light" w:hAnsi="Lato-Light" w:cs="Lato-Light"/>
          <w:lang w:val="cs-CZ"/>
        </w:rPr>
        <w:t xml:space="preserve">nutnost oprav </w:t>
      </w:r>
      <w:r w:rsidR="007B173B" w:rsidRPr="00A96459">
        <w:rPr>
          <w:rFonts w:ascii="Lato-Light" w:hAnsi="Lato-Light" w:cs="Lato-Light"/>
          <w:lang w:val="cs-CZ"/>
        </w:rPr>
        <w:t>i smluvní pokuty.</w:t>
      </w:r>
      <w:r w:rsidR="00FC4647" w:rsidRPr="00A96459">
        <w:rPr>
          <w:rFonts w:ascii="Lato-Light" w:hAnsi="Lato-Light" w:cs="Lato-Light"/>
          <w:lang w:val="cs-CZ"/>
        </w:rPr>
        <w:t xml:space="preserve"> </w:t>
      </w:r>
      <w:r w:rsidR="00F36292" w:rsidRPr="00A96459">
        <w:rPr>
          <w:rFonts w:ascii="Lato-Light" w:hAnsi="Lato-Light" w:cs="Lato-Light"/>
          <w:lang w:val="cs-CZ"/>
        </w:rPr>
        <w:t xml:space="preserve">Cesta, jak </w:t>
      </w:r>
      <w:r w:rsidR="002C6392" w:rsidRPr="00A96459">
        <w:rPr>
          <w:rFonts w:ascii="Lato-Light" w:hAnsi="Lato-Light" w:cs="Lato-Light"/>
          <w:lang w:val="cs-CZ"/>
        </w:rPr>
        <w:t xml:space="preserve">úspěšně řídit stavební projekty a uvedeným </w:t>
      </w:r>
      <w:r w:rsidR="00F36292" w:rsidRPr="00A96459">
        <w:rPr>
          <w:rFonts w:ascii="Lato-Light" w:hAnsi="Lato-Light" w:cs="Lato-Light"/>
          <w:lang w:val="cs-CZ"/>
        </w:rPr>
        <w:t xml:space="preserve">problémům </w:t>
      </w:r>
      <w:r w:rsidR="002C6392" w:rsidRPr="00A96459">
        <w:rPr>
          <w:rFonts w:ascii="Lato-Light" w:hAnsi="Lato-Light" w:cs="Lato-Light"/>
          <w:lang w:val="cs-CZ"/>
        </w:rPr>
        <w:t xml:space="preserve">se </w:t>
      </w:r>
      <w:r w:rsidR="00F36292" w:rsidRPr="00A96459">
        <w:rPr>
          <w:rFonts w:ascii="Lato-Light" w:hAnsi="Lato-Light" w:cs="Lato-Light"/>
          <w:lang w:val="cs-CZ"/>
        </w:rPr>
        <w:t xml:space="preserve">vyhnout, je </w:t>
      </w:r>
      <w:r w:rsidR="005B6CAE" w:rsidRPr="00A96459">
        <w:rPr>
          <w:rFonts w:ascii="Lato-Light" w:hAnsi="Lato-Light" w:cs="Lato-Light"/>
          <w:lang w:val="cs-CZ"/>
        </w:rPr>
        <w:t>jednoduchá:</w:t>
      </w:r>
      <w:r w:rsidR="00CF0A3E" w:rsidRPr="00A96459">
        <w:rPr>
          <w:rFonts w:ascii="Lato-Light" w:hAnsi="Lato-Light" w:cs="Lato-Light"/>
          <w:lang w:val="cs-CZ"/>
        </w:rPr>
        <w:t xml:space="preserve"> </w:t>
      </w:r>
      <w:r w:rsidR="00F41588" w:rsidRPr="00A96459">
        <w:rPr>
          <w:rFonts w:ascii="Lato-Light" w:hAnsi="Lato-Light" w:cs="Lato-Light"/>
          <w:lang w:val="cs-CZ"/>
        </w:rPr>
        <w:t xml:space="preserve">co nejvíce </w:t>
      </w:r>
      <w:r w:rsidR="00C43CE2" w:rsidRPr="00A96459">
        <w:rPr>
          <w:rFonts w:ascii="Lato-Light" w:hAnsi="Lato-Light" w:cs="Lato-Light"/>
          <w:lang w:val="cs-CZ"/>
        </w:rPr>
        <w:t>po</w:t>
      </w:r>
      <w:r w:rsidR="00CF0A3E" w:rsidRPr="00A96459">
        <w:rPr>
          <w:rFonts w:ascii="Lato-Light" w:hAnsi="Lato-Light" w:cs="Lato-Light"/>
          <w:lang w:val="cs-CZ"/>
        </w:rPr>
        <w:t xml:space="preserve">užívat </w:t>
      </w:r>
      <w:r w:rsidR="00C56403" w:rsidRPr="00A96459">
        <w:rPr>
          <w:rFonts w:ascii="Lato-Light" w:hAnsi="Lato-Light" w:cs="Lato-Light"/>
          <w:lang w:val="cs-CZ"/>
        </w:rPr>
        <w:t xml:space="preserve">uživatelsky přátelské </w:t>
      </w:r>
      <w:r w:rsidR="00CF0A3E" w:rsidRPr="00A96459">
        <w:rPr>
          <w:rFonts w:ascii="Lato-Light" w:hAnsi="Lato-Light" w:cs="Lato-Light"/>
          <w:lang w:val="cs-CZ"/>
        </w:rPr>
        <w:t>digitální nástroje</w:t>
      </w:r>
      <w:r w:rsidR="00C56403" w:rsidRPr="00A96459">
        <w:rPr>
          <w:rFonts w:ascii="Lato-Light" w:hAnsi="Lato-Light" w:cs="Lato-Light"/>
          <w:lang w:val="cs-CZ"/>
        </w:rPr>
        <w:t xml:space="preserve">, které </w:t>
      </w:r>
      <w:r w:rsidR="00025808" w:rsidRPr="00A96459">
        <w:rPr>
          <w:rFonts w:ascii="Lato-Light" w:hAnsi="Lato-Light" w:cs="Lato-Light"/>
          <w:lang w:val="cs-CZ"/>
        </w:rPr>
        <w:t>zjednodu</w:t>
      </w:r>
      <w:r w:rsidR="00C43CE2" w:rsidRPr="00A96459">
        <w:rPr>
          <w:rFonts w:ascii="Lato-Light" w:hAnsi="Lato-Light" w:cs="Lato-Light"/>
          <w:lang w:val="cs-CZ"/>
        </w:rPr>
        <w:t>š</w:t>
      </w:r>
      <w:r w:rsidR="00025808" w:rsidRPr="00A96459">
        <w:rPr>
          <w:rFonts w:ascii="Lato-Light" w:hAnsi="Lato-Light" w:cs="Lato-Light"/>
          <w:lang w:val="cs-CZ"/>
        </w:rPr>
        <w:t>í každodenní procesy</w:t>
      </w:r>
      <w:r w:rsidR="00681D08" w:rsidRPr="00A96459">
        <w:rPr>
          <w:rFonts w:ascii="Lato-Light" w:hAnsi="Lato-Light" w:cs="Lato-Light"/>
          <w:lang w:val="cs-CZ"/>
        </w:rPr>
        <w:t xml:space="preserve"> a komunikaci tím, že propojí všechny účastníky</w:t>
      </w:r>
      <w:r w:rsidR="00415C20" w:rsidRPr="00A96459">
        <w:rPr>
          <w:rFonts w:ascii="Lato-Light" w:hAnsi="Lato-Light" w:cs="Lato-Light"/>
          <w:lang w:val="cs-CZ"/>
        </w:rPr>
        <w:t xml:space="preserve"> stavebního procesu a poskytnou přístup k relevan</w:t>
      </w:r>
      <w:r w:rsidR="00E65BE4" w:rsidRPr="00A96459">
        <w:rPr>
          <w:rFonts w:ascii="Lato-Light" w:hAnsi="Lato-Light" w:cs="Lato-Light"/>
          <w:lang w:val="cs-CZ"/>
        </w:rPr>
        <w:t>tn</w:t>
      </w:r>
      <w:r w:rsidR="00415C20" w:rsidRPr="00A96459">
        <w:rPr>
          <w:rFonts w:ascii="Lato-Light" w:hAnsi="Lato-Light" w:cs="Lato-Light"/>
          <w:lang w:val="cs-CZ"/>
        </w:rPr>
        <w:t>ím informacím v reálném čase.</w:t>
      </w:r>
    </w:p>
    <w:p w14:paraId="4B8F91DC" w14:textId="39C40DC6" w:rsidR="00863B56" w:rsidRPr="00A96459" w:rsidRDefault="00A971FF" w:rsidP="00863B56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-CZ"/>
        </w:rPr>
      </w:pPr>
      <w:r w:rsidRPr="00A96459">
        <w:rPr>
          <w:rFonts w:ascii="Lato-Light" w:hAnsi="Lato-Light" w:cs="Lato-Light"/>
          <w:b/>
          <w:bCs/>
          <w:lang w:val="cs-CZ"/>
        </w:rPr>
        <w:t>Vysoké více</w:t>
      </w:r>
      <w:r w:rsidR="00637240" w:rsidRPr="00A96459">
        <w:rPr>
          <w:rFonts w:ascii="Lato-Light" w:hAnsi="Lato-Light" w:cs="Lato-Light"/>
          <w:b/>
          <w:bCs/>
          <w:lang w:val="cs-CZ"/>
        </w:rPr>
        <w:t xml:space="preserve">náklady </w:t>
      </w:r>
      <w:r w:rsidRPr="00A96459">
        <w:rPr>
          <w:rFonts w:ascii="Lato-Light" w:hAnsi="Lato-Light" w:cs="Lato-Light"/>
          <w:b/>
          <w:bCs/>
          <w:lang w:val="cs-CZ"/>
        </w:rPr>
        <w:t xml:space="preserve">vlivem </w:t>
      </w:r>
      <w:r w:rsidR="00637240" w:rsidRPr="00A96459">
        <w:rPr>
          <w:rFonts w:ascii="Lato-Light" w:hAnsi="Lato-Light" w:cs="Lato-Light"/>
          <w:b/>
          <w:bCs/>
          <w:lang w:val="cs-CZ"/>
        </w:rPr>
        <w:t>špatné komunikace</w:t>
      </w:r>
    </w:p>
    <w:p w14:paraId="4F4F4644" w14:textId="4B72A39E" w:rsidR="00DF10A0" w:rsidRPr="00A96459" w:rsidRDefault="00A23A12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>D</w:t>
      </w:r>
      <w:r w:rsidR="00BF71A0" w:rsidRPr="00A96459">
        <w:rPr>
          <w:rFonts w:ascii="Lato-Light" w:hAnsi="Lato-Light" w:cs="Lato-Light"/>
          <w:lang w:val="cs-CZ"/>
        </w:rPr>
        <w:t>odatečné výdaje</w:t>
      </w:r>
      <w:r w:rsidR="00A2356E" w:rsidRPr="00A96459">
        <w:rPr>
          <w:rFonts w:ascii="Lato-Light" w:hAnsi="Lato-Light" w:cs="Lato-Light"/>
          <w:lang w:val="cs-CZ"/>
        </w:rPr>
        <w:t>,</w:t>
      </w:r>
      <w:r w:rsidR="00BF71A0" w:rsidRPr="00A96459">
        <w:rPr>
          <w:rFonts w:ascii="Lato-Light" w:hAnsi="Lato-Light" w:cs="Lato-Light"/>
          <w:lang w:val="cs-CZ"/>
        </w:rPr>
        <w:t xml:space="preserve"> spojené s přepracováním </w:t>
      </w:r>
      <w:r w:rsidR="00A2356E" w:rsidRPr="00A96459">
        <w:rPr>
          <w:rFonts w:ascii="Lato-Light" w:hAnsi="Lato-Light" w:cs="Lato-Light"/>
          <w:lang w:val="cs-CZ"/>
        </w:rPr>
        <w:t xml:space="preserve">detailů i větších částí projektu </w:t>
      </w:r>
      <w:r w:rsidR="00BF71A0" w:rsidRPr="00A96459">
        <w:rPr>
          <w:rFonts w:ascii="Lato-Light" w:hAnsi="Lato-Light" w:cs="Lato-Light"/>
          <w:lang w:val="cs-CZ"/>
        </w:rPr>
        <w:t xml:space="preserve">či </w:t>
      </w:r>
      <w:r w:rsidR="00C30FD5" w:rsidRPr="00A96459">
        <w:rPr>
          <w:rFonts w:ascii="Lato-Light" w:hAnsi="Lato-Light" w:cs="Lato-Light"/>
          <w:lang w:val="cs-CZ"/>
        </w:rPr>
        <w:t>s </w:t>
      </w:r>
      <w:r w:rsidR="00BF71A0" w:rsidRPr="00A96459">
        <w:rPr>
          <w:rFonts w:ascii="Lato-Light" w:hAnsi="Lato-Light" w:cs="Lato-Light"/>
          <w:lang w:val="cs-CZ"/>
        </w:rPr>
        <w:t>opravami</w:t>
      </w:r>
      <w:r w:rsidR="00C30FD5" w:rsidRPr="00A96459">
        <w:rPr>
          <w:rFonts w:ascii="Lato-Light" w:hAnsi="Lato-Light" w:cs="Lato-Light"/>
          <w:lang w:val="cs-CZ"/>
        </w:rPr>
        <w:t xml:space="preserve"> již hotových prací</w:t>
      </w:r>
      <w:r w:rsidR="00863B56" w:rsidRPr="00A96459">
        <w:rPr>
          <w:rFonts w:ascii="Lato-Light" w:hAnsi="Lato-Light" w:cs="Lato-Light"/>
          <w:lang w:val="cs-CZ"/>
        </w:rPr>
        <w:t xml:space="preserve">, </w:t>
      </w:r>
      <w:r w:rsidR="00364F9E" w:rsidRPr="00A96459">
        <w:rPr>
          <w:rFonts w:ascii="Lato-Light" w:hAnsi="Lato-Light" w:cs="Lato-Light"/>
          <w:lang w:val="cs-CZ"/>
        </w:rPr>
        <w:t xml:space="preserve">tvoří </w:t>
      </w:r>
      <w:r w:rsidR="00863B56" w:rsidRPr="00A96459">
        <w:rPr>
          <w:rFonts w:ascii="Lato-Light" w:hAnsi="Lato-Light" w:cs="Lato-Light"/>
          <w:lang w:val="cs-CZ"/>
        </w:rPr>
        <w:t>podle zákazníků PlanRadaru více než 11 %</w:t>
      </w:r>
      <w:r w:rsidR="00863B56" w:rsidRPr="00A96459">
        <w:rPr>
          <w:rStyle w:val="Znakapoznpodarou"/>
          <w:rFonts w:ascii="Lato-Light" w:hAnsi="Lato-Light" w:cs="Lato-Light"/>
          <w:lang w:val="cs-CZ"/>
        </w:rPr>
        <w:footnoteReference w:id="2"/>
      </w:r>
      <w:r w:rsidR="00863B56" w:rsidRPr="00A96459">
        <w:rPr>
          <w:rFonts w:ascii="Lato-Light" w:hAnsi="Lato-Light" w:cs="Lato-Light"/>
          <w:lang w:val="cs-CZ"/>
        </w:rPr>
        <w:t xml:space="preserve"> celkového rozpočtu projektů.</w:t>
      </w:r>
    </w:p>
    <w:p w14:paraId="237FBD98" w14:textId="2F050D1C" w:rsidR="00863B56" w:rsidRPr="00A96459" w:rsidRDefault="00DF10A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lang w:val="cs-CZ"/>
        </w:rPr>
      </w:pPr>
      <w:r w:rsidRPr="00A96459">
        <w:rPr>
          <w:rFonts w:ascii="Lato-Light" w:hAnsi="Lato-Light" w:cs="Lato-Light"/>
          <w:i/>
          <w:iCs/>
          <w:lang w:val="cs-CZ"/>
        </w:rPr>
        <w:t xml:space="preserve">„Představte si třeba situaci, kdy </w:t>
      </w:r>
      <w:r w:rsidR="005D2E1D" w:rsidRPr="00A96459">
        <w:rPr>
          <w:rFonts w:ascii="Lato-Light" w:hAnsi="Lato-Light" w:cs="Lato-Light"/>
          <w:i/>
          <w:iCs/>
          <w:lang w:val="cs-CZ"/>
        </w:rPr>
        <w:t xml:space="preserve">generální </w:t>
      </w:r>
      <w:r w:rsidRPr="00A96459">
        <w:rPr>
          <w:rFonts w:ascii="Lato-Light" w:hAnsi="Lato-Light" w:cs="Lato-Light"/>
          <w:i/>
          <w:iCs/>
          <w:lang w:val="cs-CZ"/>
        </w:rPr>
        <w:t>dodavatel zapomene informovat subdodavatele o</w:t>
      </w:r>
      <w:r w:rsidR="004B2E05" w:rsidRPr="00A96459">
        <w:rPr>
          <w:rFonts w:ascii="Lato-Light" w:hAnsi="Lato-Light" w:cs="Lato-Light"/>
          <w:i/>
          <w:iCs/>
          <w:lang w:val="cs-CZ"/>
        </w:rPr>
        <w:t> </w:t>
      </w:r>
      <w:r w:rsidRPr="00A96459">
        <w:rPr>
          <w:rFonts w:ascii="Lato-Light" w:hAnsi="Lato-Light" w:cs="Lato-Light"/>
          <w:i/>
          <w:iCs/>
          <w:lang w:val="cs-CZ"/>
        </w:rPr>
        <w:t>změně typu materiálu pro fasádu. Subdodavatel použije původní materiál, což vede k</w:t>
      </w:r>
      <w:r w:rsidR="004B2E05" w:rsidRPr="00A96459">
        <w:rPr>
          <w:rFonts w:ascii="Lato-Light" w:hAnsi="Lato-Light" w:cs="Lato-Light"/>
          <w:i/>
          <w:iCs/>
          <w:lang w:val="cs-CZ"/>
        </w:rPr>
        <w:t> </w:t>
      </w:r>
      <w:r w:rsidRPr="00A96459">
        <w:rPr>
          <w:rFonts w:ascii="Lato-Light" w:hAnsi="Lato-Light" w:cs="Lato-Light"/>
          <w:i/>
          <w:iCs/>
          <w:lang w:val="cs-CZ"/>
        </w:rPr>
        <w:t xml:space="preserve">nutnosti </w:t>
      </w:r>
      <w:r w:rsidR="007E31F5" w:rsidRPr="00A96459">
        <w:rPr>
          <w:rFonts w:ascii="Lato-Light" w:hAnsi="Lato-Light" w:cs="Lato-Light"/>
          <w:i/>
          <w:iCs/>
          <w:lang w:val="cs-CZ"/>
        </w:rPr>
        <w:t xml:space="preserve">jeho </w:t>
      </w:r>
      <w:r w:rsidRPr="00A96459">
        <w:rPr>
          <w:rFonts w:ascii="Lato-Light" w:hAnsi="Lato-Light" w:cs="Lato-Light"/>
          <w:i/>
          <w:iCs/>
          <w:lang w:val="cs-CZ"/>
        </w:rPr>
        <w:t xml:space="preserve">odstranění a </w:t>
      </w:r>
      <w:r w:rsidR="007E31F5" w:rsidRPr="00A96459">
        <w:rPr>
          <w:rFonts w:ascii="Lato-Light" w:hAnsi="Lato-Light" w:cs="Lato-Light"/>
          <w:i/>
          <w:iCs/>
          <w:lang w:val="cs-CZ"/>
        </w:rPr>
        <w:t xml:space="preserve">k tomu, že se vše musí udělat </w:t>
      </w:r>
      <w:r w:rsidRPr="00A96459">
        <w:rPr>
          <w:rFonts w:ascii="Lato-Light" w:hAnsi="Lato-Light" w:cs="Lato-Light"/>
          <w:i/>
          <w:iCs/>
          <w:lang w:val="cs-CZ"/>
        </w:rPr>
        <w:t>znovu. Výsledkem jsou nejen vyšší náklady, ale i</w:t>
      </w:r>
      <w:r w:rsidR="004B2E05" w:rsidRPr="00A96459">
        <w:rPr>
          <w:rFonts w:ascii="Lato-Light" w:hAnsi="Lato-Light" w:cs="Lato-Light"/>
          <w:i/>
          <w:iCs/>
          <w:lang w:val="cs-CZ"/>
        </w:rPr>
        <w:t> </w:t>
      </w:r>
      <w:r w:rsidRPr="00A96459">
        <w:rPr>
          <w:rFonts w:ascii="Lato-Light" w:hAnsi="Lato-Light" w:cs="Lato-Light"/>
          <w:i/>
          <w:iCs/>
          <w:lang w:val="cs-CZ"/>
        </w:rPr>
        <w:t>zpoždění projektu</w:t>
      </w:r>
      <w:r w:rsidR="00204F8B" w:rsidRPr="00A96459">
        <w:rPr>
          <w:rFonts w:ascii="Lato-Light" w:hAnsi="Lato-Light" w:cs="Lato-Light"/>
          <w:i/>
          <w:iCs/>
          <w:lang w:val="cs-CZ"/>
        </w:rPr>
        <w:t xml:space="preserve">,“ </w:t>
      </w:r>
      <w:r w:rsidR="00204F8B" w:rsidRPr="00A96459">
        <w:rPr>
          <w:rFonts w:ascii="Lato-Light" w:hAnsi="Lato-Light" w:cs="Lato-Light"/>
          <w:lang w:val="cs-CZ"/>
        </w:rPr>
        <w:t>uvádí příklad</w:t>
      </w:r>
      <w:r w:rsidR="007E31F5" w:rsidRPr="00A96459">
        <w:rPr>
          <w:rFonts w:ascii="Lato-Light" w:hAnsi="Lato-Light" w:cs="Lato-Light"/>
          <w:lang w:val="cs-CZ"/>
        </w:rPr>
        <w:t xml:space="preserve"> z praxe </w:t>
      </w:r>
      <w:r w:rsidR="00204F8B" w:rsidRPr="00A96459">
        <w:rPr>
          <w:rFonts w:ascii="Lato-Light" w:hAnsi="Lato-Light" w:cs="Lato-Light"/>
          <w:b/>
          <w:bCs/>
          <w:lang w:val="cs-CZ"/>
        </w:rPr>
        <w:t xml:space="preserve">Adam Heres Vostárek, regionální manažer PlanRadaru pro Českou republiku, </w:t>
      </w:r>
      <w:r w:rsidR="00204F8B" w:rsidRPr="00A96459">
        <w:rPr>
          <w:rFonts w:ascii="Lato-Light" w:hAnsi="Lato-Light" w:cs="Lato-Light"/>
          <w:lang w:val="cs-CZ"/>
        </w:rPr>
        <w:t>a pokračuje: „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Nedostatečné sdílení informací, například při schvalování </w:t>
      </w:r>
      <w:r w:rsidR="009B58EE" w:rsidRPr="00A96459">
        <w:rPr>
          <w:rFonts w:ascii="Lato-Light" w:hAnsi="Lato-Light" w:cs="Lato-Light"/>
          <w:i/>
          <w:iCs/>
          <w:lang w:val="cs-CZ"/>
        </w:rPr>
        <w:t xml:space="preserve">prací od 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subdodavatelů nebo </w:t>
      </w:r>
      <w:r w:rsidR="009B58EE" w:rsidRPr="00A96459">
        <w:rPr>
          <w:rFonts w:ascii="Lato-Light" w:hAnsi="Lato-Light" w:cs="Lato-Light"/>
          <w:i/>
          <w:iCs/>
          <w:lang w:val="cs-CZ"/>
        </w:rPr>
        <w:t xml:space="preserve">při 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vedení stavebního deníku, často vede k problémům s plněním </w:t>
      </w:r>
      <w:r w:rsidR="0030233F" w:rsidRPr="00A96459">
        <w:rPr>
          <w:rFonts w:ascii="Lato-Light" w:hAnsi="Lato-Light" w:cs="Lato-Light"/>
          <w:i/>
          <w:iCs/>
          <w:lang w:val="cs-CZ"/>
        </w:rPr>
        <w:t>úkolů</w:t>
      </w:r>
      <w:r w:rsidR="00863B56" w:rsidRPr="00A96459">
        <w:rPr>
          <w:rFonts w:ascii="Lato-Light" w:hAnsi="Lato-Light" w:cs="Lato-Light"/>
          <w:i/>
          <w:iCs/>
          <w:lang w:val="cs-CZ"/>
        </w:rPr>
        <w:t>, což může mít za následek i smluvní pokut</w:t>
      </w:r>
      <w:r w:rsidR="0030233F" w:rsidRPr="00A96459">
        <w:rPr>
          <w:rFonts w:ascii="Lato-Light" w:hAnsi="Lato-Light" w:cs="Lato-Light"/>
          <w:i/>
          <w:iCs/>
          <w:lang w:val="cs-CZ"/>
        </w:rPr>
        <w:t>y</w:t>
      </w:r>
      <w:r w:rsidR="00863B56" w:rsidRPr="00A96459">
        <w:rPr>
          <w:rFonts w:ascii="Lato-Light" w:hAnsi="Lato-Light" w:cs="Lato-Light"/>
          <w:i/>
          <w:iCs/>
          <w:lang w:val="cs-CZ"/>
        </w:rPr>
        <w:t>. T</w:t>
      </w:r>
      <w:r w:rsidR="00915AA0" w:rsidRPr="00A96459">
        <w:rPr>
          <w:rFonts w:ascii="Lato-Light" w:hAnsi="Lato-Light" w:cs="Lato-Light"/>
          <w:i/>
          <w:iCs/>
          <w:lang w:val="cs-CZ"/>
        </w:rPr>
        <w:t>o vše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 jasně ukazuj</w:t>
      </w:r>
      <w:r w:rsidR="00915AA0" w:rsidRPr="00A96459">
        <w:rPr>
          <w:rFonts w:ascii="Lato-Light" w:hAnsi="Lato-Light" w:cs="Lato-Light"/>
          <w:i/>
          <w:iCs/>
          <w:lang w:val="cs-CZ"/>
        </w:rPr>
        <w:t xml:space="preserve">e, že </w:t>
      </w:r>
      <w:r w:rsidR="00863B56" w:rsidRPr="00A96459">
        <w:rPr>
          <w:rFonts w:ascii="Lato-Light" w:hAnsi="Lato-Light" w:cs="Lato-Light"/>
          <w:i/>
          <w:iCs/>
          <w:lang w:val="cs-CZ"/>
        </w:rPr>
        <w:t>investic</w:t>
      </w:r>
      <w:r w:rsidR="00915AA0" w:rsidRPr="00A96459">
        <w:rPr>
          <w:rFonts w:ascii="Lato-Light" w:hAnsi="Lato-Light" w:cs="Lato-Light"/>
          <w:i/>
          <w:iCs/>
          <w:lang w:val="cs-CZ"/>
        </w:rPr>
        <w:t>e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 do </w:t>
      </w:r>
      <w:r w:rsidR="007A7DE7" w:rsidRPr="00A96459">
        <w:rPr>
          <w:rFonts w:ascii="Lato-Light" w:hAnsi="Lato-Light" w:cs="Lato-Light"/>
          <w:i/>
          <w:iCs/>
          <w:lang w:val="cs-CZ"/>
        </w:rPr>
        <w:t xml:space="preserve">digitálních 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nástrojů pro </w:t>
      </w:r>
      <w:r w:rsidR="00BE79F0" w:rsidRPr="00A96459">
        <w:rPr>
          <w:rFonts w:ascii="Lato-Light" w:hAnsi="Lato-Light" w:cs="Lato-Light"/>
          <w:i/>
          <w:iCs/>
          <w:lang w:val="cs-CZ"/>
        </w:rPr>
        <w:t>optimalizaci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 komunikac</w:t>
      </w:r>
      <w:r w:rsidR="00BE79F0" w:rsidRPr="00A96459">
        <w:rPr>
          <w:rFonts w:ascii="Lato-Light" w:hAnsi="Lato-Light" w:cs="Lato-Light"/>
          <w:i/>
          <w:iCs/>
          <w:lang w:val="cs-CZ"/>
        </w:rPr>
        <w:t>e</w:t>
      </w:r>
      <w:r w:rsidR="00863B56" w:rsidRPr="00A96459">
        <w:rPr>
          <w:rFonts w:ascii="Lato-Light" w:hAnsi="Lato-Light" w:cs="Lato-Light"/>
          <w:i/>
          <w:iCs/>
          <w:lang w:val="cs-CZ"/>
        </w:rPr>
        <w:t xml:space="preserve"> </w:t>
      </w:r>
      <w:r w:rsidR="00863B56" w:rsidRPr="00A96459">
        <w:rPr>
          <w:rFonts w:ascii="Lato-Light" w:hAnsi="Lato-Light" w:cs="Lato-Light"/>
          <w:i/>
          <w:iCs/>
          <w:lang w:val="cs-CZ"/>
        </w:rPr>
        <w:lastRenderedPageBreak/>
        <w:t>a</w:t>
      </w:r>
      <w:r w:rsidR="007A7DE7" w:rsidRPr="00A96459">
        <w:rPr>
          <w:rFonts w:ascii="Lato-Light" w:hAnsi="Lato-Light" w:cs="Lato-Light"/>
          <w:i/>
          <w:iCs/>
          <w:lang w:val="cs-CZ"/>
        </w:rPr>
        <w:t> </w:t>
      </w:r>
      <w:r w:rsidR="00863B56" w:rsidRPr="00A96459">
        <w:rPr>
          <w:rFonts w:ascii="Lato-Light" w:hAnsi="Lato-Light" w:cs="Lato-Light"/>
          <w:i/>
          <w:iCs/>
          <w:lang w:val="cs-CZ"/>
        </w:rPr>
        <w:t>řízení procesů</w:t>
      </w:r>
      <w:r w:rsidR="00915AA0" w:rsidRPr="00A96459">
        <w:rPr>
          <w:rFonts w:ascii="Lato-Light" w:hAnsi="Lato-Light" w:cs="Lato-Light"/>
          <w:i/>
          <w:iCs/>
          <w:lang w:val="cs-CZ"/>
        </w:rPr>
        <w:t xml:space="preserve"> jsou nutné</w:t>
      </w:r>
      <w:r w:rsidR="00204F8B" w:rsidRPr="00A96459">
        <w:rPr>
          <w:rFonts w:ascii="Lato-Light" w:hAnsi="Lato-Light" w:cs="Lato-Light"/>
          <w:i/>
          <w:iCs/>
          <w:lang w:val="cs-CZ"/>
        </w:rPr>
        <w:t>.</w:t>
      </w:r>
      <w:r w:rsidR="000F2D82" w:rsidRPr="00A96459">
        <w:rPr>
          <w:rFonts w:ascii="Lato-Light" w:hAnsi="Lato-Light" w:cs="Lato-Light"/>
          <w:i/>
          <w:iCs/>
          <w:lang w:val="cs-CZ"/>
        </w:rPr>
        <w:t xml:space="preserve"> Je třeba přejít od prázdných </w:t>
      </w:r>
      <w:r w:rsidR="003E62B5" w:rsidRPr="00A96459">
        <w:rPr>
          <w:rFonts w:ascii="Lato-Light" w:hAnsi="Lato-Light" w:cs="Lato-Light"/>
          <w:i/>
          <w:iCs/>
          <w:lang w:val="cs-CZ"/>
        </w:rPr>
        <w:t xml:space="preserve">slov o digitalizaci k jejímu </w:t>
      </w:r>
      <w:r w:rsidR="00D54713" w:rsidRPr="00A96459">
        <w:rPr>
          <w:rFonts w:ascii="Lato-Light" w:hAnsi="Lato-Light" w:cs="Lato-Light"/>
          <w:i/>
          <w:iCs/>
          <w:lang w:val="cs-CZ"/>
        </w:rPr>
        <w:t>opravdu širokému zavedení do stavební praxe.</w:t>
      </w:r>
      <w:r w:rsidR="00AA2308" w:rsidRPr="00A96459">
        <w:rPr>
          <w:rFonts w:ascii="Lato-Light" w:hAnsi="Lato-Light" w:cs="Lato-Light"/>
          <w:i/>
          <w:iCs/>
          <w:lang w:val="cs-CZ"/>
        </w:rPr>
        <w:t>“</w:t>
      </w:r>
      <w:r w:rsidR="00863B56" w:rsidRPr="00A96459">
        <w:rPr>
          <w:rFonts w:ascii="Lato-Light" w:hAnsi="Lato-Light" w:cs="Lato-Light"/>
          <w:b/>
          <w:bCs/>
          <w:lang w:val="cs-CZ"/>
        </w:rPr>
        <w:t xml:space="preserve"> </w:t>
      </w:r>
    </w:p>
    <w:p w14:paraId="0C723EA7" w14:textId="304C4DCC" w:rsidR="00392380" w:rsidRPr="00A96459" w:rsidRDefault="00B2146E" w:rsidP="0039238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>Zmiňovaná n</w:t>
      </w:r>
      <w:r w:rsidR="003704B5" w:rsidRPr="00A96459">
        <w:rPr>
          <w:rFonts w:ascii="Lato-Light" w:hAnsi="Lato-Light" w:cs="Lato-Light"/>
          <w:lang w:val="cs-CZ"/>
        </w:rPr>
        <w:t xml:space="preserve">eefektivní výměna informací </w:t>
      </w:r>
      <w:r w:rsidRPr="00A96459">
        <w:rPr>
          <w:rFonts w:ascii="Lato-Light" w:hAnsi="Lato-Light" w:cs="Lato-Light"/>
          <w:lang w:val="cs-CZ"/>
        </w:rPr>
        <w:t>ovlivňuje</w:t>
      </w:r>
      <w:r w:rsidR="00392380" w:rsidRPr="00A96459">
        <w:rPr>
          <w:rFonts w:ascii="Lato-Light" w:hAnsi="Lato-Light" w:cs="Lato-Light"/>
          <w:lang w:val="cs-CZ"/>
        </w:rPr>
        <w:t xml:space="preserve"> i</w:t>
      </w:r>
      <w:r w:rsidRPr="00A96459">
        <w:rPr>
          <w:rFonts w:ascii="Lato-Light" w:hAnsi="Lato-Light" w:cs="Lato-Light"/>
          <w:lang w:val="cs-CZ"/>
        </w:rPr>
        <w:t xml:space="preserve"> </w:t>
      </w:r>
      <w:r w:rsidR="00392380" w:rsidRPr="00A96459">
        <w:rPr>
          <w:rFonts w:ascii="Lato-Light" w:hAnsi="Lato-Light" w:cs="Lato-Light"/>
          <w:lang w:val="cs-CZ"/>
        </w:rPr>
        <w:t>samotnou podobu smluvních vztahů, které by měly být nastaveny tak, aby minimalizovaly rizika spojená s</w:t>
      </w:r>
      <w:r w:rsidR="0027030D" w:rsidRPr="00A96459">
        <w:rPr>
          <w:rFonts w:ascii="Lato-Light" w:hAnsi="Lato-Light" w:cs="Lato-Light"/>
          <w:lang w:val="cs-CZ"/>
        </w:rPr>
        <w:t> </w:t>
      </w:r>
      <w:r w:rsidR="00392380" w:rsidRPr="00A96459">
        <w:rPr>
          <w:rFonts w:ascii="Lato-Light" w:hAnsi="Lato-Light" w:cs="Lato-Light"/>
          <w:lang w:val="cs-CZ"/>
        </w:rPr>
        <w:t xml:space="preserve">nejasnostmi a spory. </w:t>
      </w:r>
      <w:r w:rsidR="004E13A0" w:rsidRPr="00A96459">
        <w:rPr>
          <w:rFonts w:ascii="Lato-Light" w:hAnsi="Lato-Light" w:cs="Lato-Light"/>
          <w:lang w:val="cs-CZ"/>
        </w:rPr>
        <w:t>Zásadní</w:t>
      </w:r>
      <w:r w:rsidR="00392380" w:rsidRPr="00A96459">
        <w:rPr>
          <w:rFonts w:ascii="Lato-Light" w:hAnsi="Lato-Light" w:cs="Lato-Light"/>
          <w:lang w:val="cs-CZ"/>
        </w:rPr>
        <w:t xml:space="preserve"> je, aby smlouvy obsahovaly konkrétně definované povinnosti, jako je dodržení termínu dokončení díla, odstranění vad v přesně stanovené lhůtě či dodržování pravidel BOZP. Obecné formulace typu „podstatné porušení povinností“ nejsou dostatečné a mohou vést k problémům při vymáhání sankcí.</w:t>
      </w:r>
      <w:r w:rsidR="00392380" w:rsidRPr="00A96459">
        <w:rPr>
          <w:rStyle w:val="Znakapoznpodarou"/>
          <w:rFonts w:ascii="Lato-Light" w:hAnsi="Lato-Light" w:cs="Lato-Light"/>
          <w:lang w:val="cs-CZ"/>
        </w:rPr>
        <w:footnoteReference w:id="3"/>
      </w:r>
      <w:r w:rsidR="00392380" w:rsidRPr="00A96459">
        <w:rPr>
          <w:rFonts w:ascii="Lato-Light" w:hAnsi="Lato-Light" w:cs="Lato-Light"/>
          <w:lang w:val="cs-CZ"/>
        </w:rPr>
        <w:t xml:space="preserve"> Jasně stanovená pravidla nejen</w:t>
      </w:r>
      <w:r w:rsidR="005E3369" w:rsidRPr="00A96459">
        <w:rPr>
          <w:rFonts w:ascii="Lato-Light" w:hAnsi="Lato-Light" w:cs="Lato-Light"/>
          <w:lang w:val="cs-CZ"/>
        </w:rPr>
        <w:t>že</w:t>
      </w:r>
      <w:r w:rsidR="00392380" w:rsidRPr="00A96459">
        <w:rPr>
          <w:rFonts w:ascii="Lato-Light" w:hAnsi="Lato-Light" w:cs="Lato-Light"/>
          <w:lang w:val="cs-CZ"/>
        </w:rPr>
        <w:t xml:space="preserve"> zjednodušují řešení případných sporů, ale také podporují efektivní spolupráci mezi hlavními dodavateli a subdodavateli. Zavedení digitálních nástrojů, které umožňují centralizované řízení dokumentace a sledování plnění povinností, navíc posiluje transparentnost a zajišťuje hladší průběh projektu bez zbytečných zdržení a finančních ztrát.</w:t>
      </w:r>
    </w:p>
    <w:p w14:paraId="7C7D9A6E" w14:textId="5AB47359" w:rsidR="00637240" w:rsidRPr="00A96459" w:rsidRDefault="0063724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-CZ"/>
        </w:rPr>
      </w:pPr>
      <w:r w:rsidRPr="00A96459">
        <w:rPr>
          <w:rFonts w:ascii="Lato-Light" w:hAnsi="Lato-Light" w:cs="Lato-Light"/>
          <w:b/>
          <w:bCs/>
          <w:lang w:val="cs-CZ"/>
        </w:rPr>
        <w:t xml:space="preserve">Význam změnových </w:t>
      </w:r>
      <w:r w:rsidR="00A96459" w:rsidRPr="00A96459">
        <w:rPr>
          <w:rFonts w:ascii="Lato-Light" w:hAnsi="Lato-Light" w:cs="Lato-Light"/>
          <w:b/>
          <w:bCs/>
          <w:lang w:val="cs-CZ"/>
        </w:rPr>
        <w:t>listů</w:t>
      </w:r>
    </w:p>
    <w:p w14:paraId="649EFB8A" w14:textId="504DF5A1" w:rsidR="003701A0" w:rsidRPr="00A96459" w:rsidRDefault="0063724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 xml:space="preserve">Další </w:t>
      </w:r>
      <w:r w:rsidR="004E13A0" w:rsidRPr="00A96459">
        <w:rPr>
          <w:rFonts w:ascii="Lato-Light" w:hAnsi="Lato-Light" w:cs="Lato-Light"/>
          <w:lang w:val="cs-CZ"/>
        </w:rPr>
        <w:t>stěžejní</w:t>
      </w:r>
      <w:r w:rsidRPr="00A96459">
        <w:rPr>
          <w:rFonts w:ascii="Lato-Light" w:hAnsi="Lato-Light" w:cs="Lato-Light"/>
          <w:lang w:val="cs-CZ"/>
        </w:rPr>
        <w:t xml:space="preserve"> oblastí, která úzce souvisí s komunikací a smluvními podmínkami, jsou změnové </w:t>
      </w:r>
      <w:r w:rsidR="00A96459" w:rsidRPr="00A96459">
        <w:rPr>
          <w:rFonts w:ascii="Lato-Light" w:hAnsi="Lato-Light" w:cs="Lato-Light"/>
          <w:lang w:val="cs-CZ"/>
        </w:rPr>
        <w:t>listy</w:t>
      </w:r>
      <w:r w:rsidRPr="00A96459">
        <w:rPr>
          <w:rFonts w:ascii="Lato-Light" w:hAnsi="Lato-Light" w:cs="Lato-Light"/>
          <w:lang w:val="cs-CZ"/>
        </w:rPr>
        <w:t xml:space="preserve">. </w:t>
      </w:r>
      <w:r w:rsidR="003701A0" w:rsidRPr="00A96459">
        <w:rPr>
          <w:rFonts w:ascii="Lato-Light" w:hAnsi="Lato-Light" w:cs="Lato-Light"/>
          <w:lang w:val="cs-CZ"/>
        </w:rPr>
        <w:t>Tento formální dokument upravuje původně definovaný rozsah prací ve stavební smlouvě a slouží jako oficiální záznam dohodnutých změn mezi objednatelem, dodavatelem a někdy i subdodavateli</w:t>
      </w:r>
      <w:r w:rsidRPr="00A96459">
        <w:rPr>
          <w:rFonts w:ascii="Lato-Light" w:hAnsi="Lato-Light" w:cs="Lato-Light"/>
          <w:lang w:val="cs-CZ"/>
        </w:rPr>
        <w:t xml:space="preserve">. Tyto změny mohou zahrnovat úpravy harmonogramu, rozpočtu, designu, materiálů nebo jiných smluvních podmínek. </w:t>
      </w:r>
      <w:r w:rsidR="004E13A0" w:rsidRPr="00A96459">
        <w:rPr>
          <w:rFonts w:ascii="Lato-Light" w:hAnsi="Lato-Light" w:cs="Lato-Light"/>
          <w:lang w:val="cs-CZ"/>
        </w:rPr>
        <w:t>Zásadním</w:t>
      </w:r>
      <w:r w:rsidRPr="00A96459">
        <w:rPr>
          <w:rFonts w:ascii="Lato-Light" w:hAnsi="Lato-Light" w:cs="Lato-Light"/>
          <w:lang w:val="cs-CZ"/>
        </w:rPr>
        <w:t xml:space="preserve"> prvkem je jasné vymezení rozsahu změny – tedy co se přidává, odstraňuje nebo upravuje. Typickým příkladem může být přidání nové místnosti, změna typu podlahové krytiny nebo odstranění zdi.</w:t>
      </w:r>
    </w:p>
    <w:p w14:paraId="4CE60207" w14:textId="51A04049" w:rsidR="00637240" w:rsidRPr="00A96459" w:rsidRDefault="0063724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 xml:space="preserve">Změnové </w:t>
      </w:r>
      <w:r w:rsidR="00A96459" w:rsidRPr="00A96459">
        <w:rPr>
          <w:rFonts w:ascii="Lato-Light" w:hAnsi="Lato-Light" w:cs="Lato-Light"/>
          <w:lang w:val="cs-CZ"/>
        </w:rPr>
        <w:t>listy</w:t>
      </w:r>
      <w:r w:rsidRPr="00A96459">
        <w:rPr>
          <w:rFonts w:ascii="Lato-Light" w:hAnsi="Lato-Light" w:cs="Lato-Light"/>
          <w:lang w:val="cs-CZ"/>
        </w:rPr>
        <w:t xml:space="preserve"> jsou důležité, protože poskytují jasnou dokumentaci změn, kontrolu nad rozpočtem a harmonogramem a zajišťují soulad se smluvními podmínkami, často podle pravidel, jako jsou ta definovaná </w:t>
      </w:r>
      <w:r w:rsidR="0052711D" w:rsidRPr="00A96459">
        <w:rPr>
          <w:rFonts w:ascii="Lato-Light" w:hAnsi="Lato-Light" w:cs="Lato-Light"/>
          <w:lang w:val="cs-CZ"/>
        </w:rPr>
        <w:t>FIDIC</w:t>
      </w:r>
      <w:r w:rsidR="0052711D" w:rsidRPr="00A96459">
        <w:rPr>
          <w:rStyle w:val="Znakapoznpodarou"/>
          <w:rFonts w:ascii="Lato-Light" w:hAnsi="Lato-Light" w:cs="Lato-Light"/>
          <w:lang w:val="cs-CZ"/>
        </w:rPr>
        <w:footnoteReference w:id="4"/>
      </w:r>
      <w:r w:rsidRPr="00A96459">
        <w:rPr>
          <w:rFonts w:ascii="Lato-Light" w:hAnsi="Lato-Light" w:cs="Lato-Light"/>
          <w:lang w:val="cs-CZ"/>
        </w:rPr>
        <w:t xml:space="preserve">. </w:t>
      </w:r>
    </w:p>
    <w:p w14:paraId="2EE8991E" w14:textId="77777777" w:rsidR="00637240" w:rsidRPr="00A96459" w:rsidRDefault="0063724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-CZ"/>
        </w:rPr>
      </w:pPr>
      <w:r w:rsidRPr="00A96459">
        <w:rPr>
          <w:rFonts w:ascii="Lato-Light" w:hAnsi="Lato-Light" w:cs="Lato-Light"/>
          <w:b/>
          <w:bCs/>
          <w:lang w:val="cs-CZ"/>
        </w:rPr>
        <w:t>Důležitost centrálních systémů pro správu změn</w:t>
      </w:r>
    </w:p>
    <w:p w14:paraId="30948B5E" w14:textId="2B4769FF" w:rsidR="008A33E0" w:rsidRPr="00A96459" w:rsidRDefault="00637240" w:rsidP="54329E3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 xml:space="preserve">Při řízení větších projektů, které mohou zahrnovat stovky změnových </w:t>
      </w:r>
      <w:r w:rsidR="00A96459" w:rsidRPr="00A96459">
        <w:rPr>
          <w:rFonts w:ascii="Lato-Light" w:hAnsi="Lato-Light" w:cs="Lato-Light"/>
          <w:lang w:val="cs-CZ"/>
        </w:rPr>
        <w:t>listů</w:t>
      </w:r>
      <w:r w:rsidRPr="00A96459">
        <w:rPr>
          <w:rFonts w:ascii="Lato-Light" w:hAnsi="Lato-Light" w:cs="Lato-Light"/>
          <w:lang w:val="cs-CZ"/>
        </w:rPr>
        <w:t>, je klíčové mít přehled o všech změnách na jednom místě. Centrální systémy umožňují sledovat všechny změny napříč projekty, upozorňují na potenciální problémy a</w:t>
      </w:r>
      <w:r w:rsidR="00802405" w:rsidRPr="00A96459">
        <w:rPr>
          <w:rFonts w:ascii="Lato-Light" w:hAnsi="Lato-Light" w:cs="Lato-Light"/>
          <w:lang w:val="cs-CZ"/>
        </w:rPr>
        <w:t> </w:t>
      </w:r>
      <w:r w:rsidRPr="00A96459">
        <w:rPr>
          <w:rFonts w:ascii="Lato-Light" w:hAnsi="Lato-Light" w:cs="Lato-Light"/>
          <w:lang w:val="cs-CZ"/>
        </w:rPr>
        <w:t xml:space="preserve">pomáhají zajistit, že žádný </w:t>
      </w:r>
      <w:r w:rsidR="00FD3280" w:rsidRPr="00A96459">
        <w:rPr>
          <w:rFonts w:ascii="Lato-Light" w:hAnsi="Lato-Light" w:cs="Lato-Light"/>
          <w:lang w:val="cs-CZ"/>
        </w:rPr>
        <w:t>z nich</w:t>
      </w:r>
      <w:r w:rsidRPr="00A96459">
        <w:rPr>
          <w:rFonts w:ascii="Lato-Light" w:hAnsi="Lato-Light" w:cs="Lato-Light"/>
          <w:lang w:val="cs-CZ"/>
        </w:rPr>
        <w:t xml:space="preserve"> nepřekročí stanovené termíny</w:t>
      </w:r>
      <w:r w:rsidRPr="00A96459">
        <w:rPr>
          <w:rFonts w:ascii="Lato-Light" w:hAnsi="Lato-Light" w:cs="Lato-Light"/>
          <w:i/>
          <w:iCs/>
          <w:lang w:val="cs-CZ"/>
        </w:rPr>
        <w:t>.</w:t>
      </w:r>
      <w:r w:rsidR="00042477" w:rsidRPr="00A96459">
        <w:rPr>
          <w:rFonts w:ascii="Lato-Light" w:hAnsi="Lato-Light" w:cs="Lato-Light"/>
          <w:i/>
          <w:iCs/>
          <w:lang w:val="cs-CZ"/>
        </w:rPr>
        <w:t xml:space="preserve"> </w:t>
      </w:r>
      <w:r w:rsidR="00D45DDF" w:rsidRPr="00A96459">
        <w:rPr>
          <w:rFonts w:ascii="Lato-Light" w:hAnsi="Lato-Light" w:cs="Lato-Light"/>
          <w:lang w:val="cs-CZ"/>
        </w:rPr>
        <w:t>To je obrovská přidaná hodnota například pro generální dodavatele</w:t>
      </w:r>
      <w:r w:rsidR="003C6962" w:rsidRPr="00A96459">
        <w:rPr>
          <w:rFonts w:ascii="Lato-Light" w:hAnsi="Lato-Light" w:cs="Lato-Light"/>
          <w:lang w:val="cs-CZ"/>
        </w:rPr>
        <w:t xml:space="preserve"> a jejich projektové manažery</w:t>
      </w:r>
      <w:r w:rsidR="00C139AE" w:rsidRPr="00A96459">
        <w:rPr>
          <w:rFonts w:ascii="Lato-Light" w:hAnsi="Lato-Light" w:cs="Lato-Light"/>
          <w:lang w:val="cs-CZ"/>
        </w:rPr>
        <w:t>: ti potřebují je</w:t>
      </w:r>
      <w:r w:rsidR="003F1B35" w:rsidRPr="00A96459">
        <w:rPr>
          <w:rFonts w:ascii="Lato-Light" w:hAnsi="Lato-Light" w:cs="Lato-Light"/>
          <w:lang w:val="cs-CZ"/>
        </w:rPr>
        <w:t>dn</w:t>
      </w:r>
      <w:r w:rsidR="00C139AE" w:rsidRPr="00A96459">
        <w:rPr>
          <w:rFonts w:ascii="Lato-Light" w:hAnsi="Lato-Light" w:cs="Lato-Light"/>
          <w:lang w:val="cs-CZ"/>
        </w:rPr>
        <w:t>otný systém, v němž by řídili všechny</w:t>
      </w:r>
      <w:r w:rsidR="003F1B35" w:rsidRPr="00A96459">
        <w:rPr>
          <w:rFonts w:ascii="Lato-Light" w:hAnsi="Lato-Light" w:cs="Lato-Light"/>
          <w:lang w:val="cs-CZ"/>
        </w:rPr>
        <w:t xml:space="preserve"> změny a měli o nich přehled ve všech </w:t>
      </w:r>
      <w:r w:rsidR="00714E6E" w:rsidRPr="00A96459">
        <w:rPr>
          <w:rFonts w:ascii="Lato-Light" w:hAnsi="Lato-Light" w:cs="Lato-Light"/>
          <w:lang w:val="cs-CZ"/>
        </w:rPr>
        <w:t xml:space="preserve">projektech, za </w:t>
      </w:r>
      <w:r w:rsidR="00714E6E" w:rsidRPr="00A96459">
        <w:rPr>
          <w:rFonts w:ascii="Lato-Light" w:hAnsi="Lato-Light" w:cs="Lato-Light"/>
          <w:lang w:val="cs-CZ"/>
        </w:rPr>
        <w:lastRenderedPageBreak/>
        <w:t>které zodpovídají.</w:t>
      </w:r>
      <w:r w:rsidR="003C6962" w:rsidRPr="00A96459">
        <w:rPr>
          <w:rFonts w:ascii="Lato-Light" w:hAnsi="Lato-Light" w:cs="Lato-Light"/>
          <w:lang w:val="cs-CZ"/>
        </w:rPr>
        <w:t xml:space="preserve"> </w:t>
      </w:r>
      <w:r w:rsidR="00330030" w:rsidRPr="00A96459">
        <w:rPr>
          <w:rFonts w:ascii="Lato-Light" w:hAnsi="Lato-Light" w:cs="Lato-Light"/>
          <w:lang w:val="cs-CZ"/>
        </w:rPr>
        <w:t xml:space="preserve">A takových projektů může být u velkých generálních dodavatelů </w:t>
      </w:r>
      <w:r w:rsidR="00080004" w:rsidRPr="00A96459">
        <w:rPr>
          <w:rFonts w:ascii="Lato-Light" w:hAnsi="Lato-Light" w:cs="Lato-Light"/>
          <w:lang w:val="cs-CZ"/>
        </w:rPr>
        <w:t>až několik set současně</w:t>
      </w:r>
      <w:r w:rsidR="28DAAC3A" w:rsidRPr="00A96459">
        <w:rPr>
          <w:rFonts w:ascii="Lato-Light" w:hAnsi="Lato-Light" w:cs="Lato-Light"/>
          <w:lang w:val="cs-CZ"/>
        </w:rPr>
        <w:t>.</w:t>
      </w:r>
    </w:p>
    <w:p w14:paraId="30556D3B" w14:textId="591C09F4" w:rsidR="003701A0" w:rsidRPr="00A96459" w:rsidRDefault="008A33E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i/>
          <w:iCs/>
          <w:lang w:val="cs-CZ"/>
        </w:rPr>
      </w:pPr>
      <w:r w:rsidRPr="00A96459">
        <w:rPr>
          <w:rFonts w:ascii="Lato-Light" w:hAnsi="Lato-Light" w:cs="Lato-Light"/>
          <w:i/>
          <w:iCs/>
          <w:lang w:val="cs-CZ"/>
        </w:rPr>
        <w:t xml:space="preserve">„Nedodržení termínu pro zpracování změnového </w:t>
      </w:r>
      <w:r w:rsidR="00A96459" w:rsidRPr="00A96459">
        <w:rPr>
          <w:rFonts w:ascii="Lato-Light" w:hAnsi="Lato-Light" w:cs="Lato-Light"/>
          <w:i/>
          <w:iCs/>
          <w:lang w:val="cs-CZ"/>
        </w:rPr>
        <w:t>listu</w:t>
      </w:r>
      <w:r w:rsidRPr="00A96459">
        <w:rPr>
          <w:rFonts w:ascii="Lato-Light" w:hAnsi="Lato-Light" w:cs="Lato-Light"/>
          <w:i/>
          <w:iCs/>
          <w:lang w:val="cs-CZ"/>
        </w:rPr>
        <w:t xml:space="preserve"> může mít pro firmu fatální finanční důsledky. </w:t>
      </w:r>
      <w:r w:rsidR="008D3170" w:rsidRPr="00A96459">
        <w:rPr>
          <w:rFonts w:ascii="Lato-Light" w:hAnsi="Lato-Light" w:cs="Lato-Light"/>
          <w:i/>
          <w:iCs/>
          <w:lang w:val="cs-CZ"/>
        </w:rPr>
        <w:t xml:space="preserve">Dejme tomu, že úprava harmonogramu není včas schválena a práce na stavbě se zastaví, protože subdodavatelé čekají na rozhodnutí. Zpoždění o pouhých několik dní může znamenat výrazné navýšení nákladů na pracovní sílu i pronájem techniky. Například pokud 15 % těchto změn překročí stanovený termín a každá z nich stojí firmu 30 000 </w:t>
      </w:r>
      <w:r w:rsidR="002341A1" w:rsidRPr="00A96459">
        <w:rPr>
          <w:rFonts w:ascii="Lato-Light" w:hAnsi="Lato-Light" w:cs="Lato-Light"/>
          <w:i/>
          <w:iCs/>
          <w:lang w:val="cs-CZ"/>
        </w:rPr>
        <w:t>eur</w:t>
      </w:r>
      <w:r w:rsidR="008D3170" w:rsidRPr="00A96459">
        <w:rPr>
          <w:rFonts w:ascii="Lato-Light" w:hAnsi="Lato-Light" w:cs="Lato-Light"/>
          <w:i/>
          <w:iCs/>
          <w:lang w:val="cs-CZ"/>
        </w:rPr>
        <w:t>, výsledná ztráta může být obrovská,“</w:t>
      </w:r>
      <w:r w:rsidR="00135D96" w:rsidRPr="00A96459">
        <w:rPr>
          <w:rFonts w:ascii="Lato-Light" w:hAnsi="Lato-Light" w:cs="Lato-Light"/>
          <w:i/>
          <w:iCs/>
          <w:lang w:val="cs-CZ"/>
        </w:rPr>
        <w:t xml:space="preserve"> </w:t>
      </w:r>
      <w:r w:rsidR="003701A0" w:rsidRPr="00A96459">
        <w:rPr>
          <w:rFonts w:ascii="Lato-Light" w:hAnsi="Lato-Light" w:cs="Lato-Light"/>
          <w:lang w:val="cs-CZ"/>
        </w:rPr>
        <w:t xml:space="preserve">upozorňuje </w:t>
      </w:r>
      <w:r w:rsidR="003701A0" w:rsidRPr="00A96459">
        <w:rPr>
          <w:rFonts w:ascii="Lato-Light" w:hAnsi="Lato-Light" w:cs="Lato-Light"/>
          <w:b/>
          <w:bCs/>
          <w:lang w:val="cs-CZ"/>
        </w:rPr>
        <w:t>Adam Heres Vostárek</w:t>
      </w:r>
      <w:r w:rsidR="003701A0" w:rsidRPr="00A96459">
        <w:rPr>
          <w:rFonts w:ascii="Lato-Light" w:hAnsi="Lato-Light" w:cs="Lato-Light"/>
          <w:lang w:val="cs-CZ"/>
        </w:rPr>
        <w:t xml:space="preserve">. </w:t>
      </w:r>
    </w:p>
    <w:p w14:paraId="06E089DA" w14:textId="77777777" w:rsidR="00637240" w:rsidRPr="00A96459" w:rsidRDefault="0063724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-CZ"/>
        </w:rPr>
      </w:pPr>
      <w:r w:rsidRPr="00A96459">
        <w:rPr>
          <w:rFonts w:ascii="Lato-Light" w:hAnsi="Lato-Light" w:cs="Lato-Light"/>
          <w:b/>
          <w:bCs/>
          <w:lang w:val="cs-CZ"/>
        </w:rPr>
        <w:t>Směrem k lepšímu řízení projektů</w:t>
      </w:r>
    </w:p>
    <w:p w14:paraId="6F1511E9" w14:textId="608B03B4" w:rsidR="00637240" w:rsidRPr="00A96459" w:rsidRDefault="002A60D7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>Fun</w:t>
      </w:r>
      <w:r w:rsidR="0027430B" w:rsidRPr="00A96459">
        <w:rPr>
          <w:rFonts w:ascii="Lato-Light" w:hAnsi="Lato-Light" w:cs="Lato-Light"/>
          <w:lang w:val="cs-CZ"/>
        </w:rPr>
        <w:t>gující spolupráce</w:t>
      </w:r>
      <w:r w:rsidR="005F2AA8" w:rsidRPr="00A96459">
        <w:rPr>
          <w:rFonts w:ascii="Lato-Light" w:hAnsi="Lato-Light" w:cs="Lato-Light"/>
          <w:lang w:val="cs-CZ"/>
        </w:rPr>
        <w:t xml:space="preserve"> a</w:t>
      </w:r>
      <w:r w:rsidR="00637240" w:rsidRPr="00A96459">
        <w:rPr>
          <w:rFonts w:ascii="Lato-Light" w:hAnsi="Lato-Light" w:cs="Lato-Light"/>
          <w:lang w:val="cs-CZ"/>
        </w:rPr>
        <w:t xml:space="preserve"> </w:t>
      </w:r>
      <w:r w:rsidR="005F2AA8" w:rsidRPr="00A96459">
        <w:rPr>
          <w:rFonts w:ascii="Lato-Light" w:hAnsi="Lato-Light" w:cs="Lato-Light"/>
          <w:lang w:val="cs-CZ"/>
        </w:rPr>
        <w:t>kvalitní</w:t>
      </w:r>
      <w:r w:rsidR="00637240" w:rsidRPr="00A96459">
        <w:rPr>
          <w:rFonts w:ascii="Lato-Light" w:hAnsi="Lato-Light" w:cs="Lato-Light"/>
          <w:lang w:val="cs-CZ"/>
        </w:rPr>
        <w:t xml:space="preserve"> dokumentace </w:t>
      </w:r>
      <w:r w:rsidR="00514F0E" w:rsidRPr="00A96459">
        <w:rPr>
          <w:rFonts w:ascii="Lato-Light" w:hAnsi="Lato-Light" w:cs="Lato-Light"/>
          <w:lang w:val="cs-CZ"/>
        </w:rPr>
        <w:t>s</w:t>
      </w:r>
      <w:r w:rsidR="00637240" w:rsidRPr="00A96459">
        <w:rPr>
          <w:rFonts w:ascii="Lato-Light" w:hAnsi="Lato-Light" w:cs="Lato-Light"/>
          <w:lang w:val="cs-CZ"/>
        </w:rPr>
        <w:t xml:space="preserve"> využití</w:t>
      </w:r>
      <w:r w:rsidR="00514F0E" w:rsidRPr="00A96459">
        <w:rPr>
          <w:rFonts w:ascii="Lato-Light" w:hAnsi="Lato-Light" w:cs="Lato-Light"/>
          <w:lang w:val="cs-CZ"/>
        </w:rPr>
        <w:t>m</w:t>
      </w:r>
      <w:r w:rsidR="00637240" w:rsidRPr="00A96459">
        <w:rPr>
          <w:rFonts w:ascii="Lato-Light" w:hAnsi="Lato-Light" w:cs="Lato-Light"/>
          <w:lang w:val="cs-CZ"/>
        </w:rPr>
        <w:t xml:space="preserve"> moderních </w:t>
      </w:r>
      <w:r w:rsidR="00D8691D" w:rsidRPr="00A96459">
        <w:rPr>
          <w:rFonts w:ascii="Lato-Light" w:hAnsi="Lato-Light" w:cs="Lato-Light"/>
          <w:lang w:val="cs-CZ"/>
        </w:rPr>
        <w:t>technologií</w:t>
      </w:r>
      <w:r w:rsidR="00637240" w:rsidRPr="00A96459">
        <w:rPr>
          <w:rFonts w:ascii="Lato-Light" w:hAnsi="Lato-Light" w:cs="Lato-Light"/>
          <w:lang w:val="cs-CZ"/>
        </w:rPr>
        <w:t xml:space="preserve"> jsou klíčem k úspěšnému řízení stavebních projektů. Změnové </w:t>
      </w:r>
      <w:r w:rsidR="00A96459" w:rsidRPr="00A96459">
        <w:rPr>
          <w:rFonts w:ascii="Lato-Light" w:hAnsi="Lato-Light" w:cs="Lato-Light"/>
          <w:lang w:val="cs-CZ"/>
        </w:rPr>
        <w:t>listy</w:t>
      </w:r>
      <w:r w:rsidR="00637240" w:rsidRPr="00A96459">
        <w:rPr>
          <w:rFonts w:ascii="Lato-Light" w:hAnsi="Lato-Light" w:cs="Lato-Light"/>
          <w:lang w:val="cs-CZ"/>
        </w:rPr>
        <w:t xml:space="preserve"> a smluvní pokuty představují důležité nástroje, jak zajistit dodržování smluvních podmínek a</w:t>
      </w:r>
      <w:r w:rsidR="00514F0E" w:rsidRPr="00A96459">
        <w:rPr>
          <w:rFonts w:ascii="Lato-Light" w:hAnsi="Lato-Light" w:cs="Lato-Light"/>
          <w:lang w:val="cs-CZ"/>
        </w:rPr>
        <w:t> </w:t>
      </w:r>
      <w:r w:rsidR="00637240" w:rsidRPr="00A96459">
        <w:rPr>
          <w:rFonts w:ascii="Lato-Light" w:hAnsi="Lato-Light" w:cs="Lato-Light"/>
          <w:lang w:val="cs-CZ"/>
        </w:rPr>
        <w:t xml:space="preserve">minimalizovat rizika. Firmy, které </w:t>
      </w:r>
      <w:r w:rsidR="0093150F" w:rsidRPr="00A96459">
        <w:rPr>
          <w:rFonts w:ascii="Lato-Light" w:hAnsi="Lato-Light" w:cs="Lato-Light"/>
          <w:lang w:val="cs-CZ"/>
        </w:rPr>
        <w:t>dokážou</w:t>
      </w:r>
      <w:r w:rsidR="00637240" w:rsidRPr="00A96459">
        <w:rPr>
          <w:rFonts w:ascii="Lato-Light" w:hAnsi="Lato-Light" w:cs="Lato-Light"/>
          <w:lang w:val="cs-CZ"/>
        </w:rPr>
        <w:t xml:space="preserve"> tyto procesy centralizovat a zefektivnit, získají nejen lepší kontrolu nad svými projekty, ale také výrazně sníží riziko finančních ztrát.</w:t>
      </w:r>
    </w:p>
    <w:p w14:paraId="441B7AF7" w14:textId="025100E7" w:rsidR="00DB090A" w:rsidRPr="00A96459" w:rsidRDefault="00637240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  <w:r w:rsidRPr="00A96459">
        <w:rPr>
          <w:rFonts w:ascii="Lato-Light" w:hAnsi="Lato-Light" w:cs="Lato-Light"/>
          <w:lang w:val="cs-CZ"/>
        </w:rPr>
        <w:t>Zav</w:t>
      </w:r>
      <w:r w:rsidR="00303D01" w:rsidRPr="00A96459">
        <w:rPr>
          <w:rFonts w:ascii="Lato-Light" w:hAnsi="Lato-Light" w:cs="Lato-Light"/>
          <w:lang w:val="cs-CZ"/>
        </w:rPr>
        <w:t>á</w:t>
      </w:r>
      <w:r w:rsidRPr="00A96459">
        <w:rPr>
          <w:rFonts w:ascii="Lato-Light" w:hAnsi="Lato-Light" w:cs="Lato-Light"/>
          <w:lang w:val="cs-CZ"/>
        </w:rPr>
        <w:t>d</w:t>
      </w:r>
      <w:r w:rsidR="00303D01" w:rsidRPr="00A96459">
        <w:rPr>
          <w:rFonts w:ascii="Lato-Light" w:hAnsi="Lato-Light" w:cs="Lato-Light"/>
          <w:lang w:val="cs-CZ"/>
        </w:rPr>
        <w:t>ě</w:t>
      </w:r>
      <w:r w:rsidRPr="00A96459">
        <w:rPr>
          <w:rFonts w:ascii="Lato-Light" w:hAnsi="Lato-Light" w:cs="Lato-Light"/>
          <w:lang w:val="cs-CZ"/>
        </w:rPr>
        <w:t>ní digitálních platforem</w:t>
      </w:r>
      <w:r w:rsidR="0093150F" w:rsidRPr="00A96459">
        <w:rPr>
          <w:rFonts w:ascii="Lato-Light" w:hAnsi="Lato-Light" w:cs="Lato-Light"/>
          <w:lang w:val="cs-CZ"/>
        </w:rPr>
        <w:t xml:space="preserve">, </w:t>
      </w:r>
      <w:r w:rsidR="008A33E0" w:rsidRPr="00A96459">
        <w:rPr>
          <w:rFonts w:ascii="Lato-Light" w:hAnsi="Lato-Light" w:cs="Lato-Light"/>
          <w:lang w:val="cs-CZ"/>
        </w:rPr>
        <w:t>jakou je i PlanRadar</w:t>
      </w:r>
      <w:r w:rsidR="0093150F" w:rsidRPr="00A96459">
        <w:rPr>
          <w:rFonts w:ascii="Lato-Light" w:hAnsi="Lato-Light" w:cs="Lato-Light"/>
          <w:lang w:val="cs-CZ"/>
        </w:rPr>
        <w:t>,</w:t>
      </w:r>
      <w:r w:rsidR="008A33E0" w:rsidRPr="00A96459">
        <w:rPr>
          <w:rFonts w:ascii="Lato-Light" w:hAnsi="Lato-Light" w:cs="Lato-Light"/>
          <w:lang w:val="cs-CZ"/>
        </w:rPr>
        <w:t xml:space="preserve"> </w:t>
      </w:r>
      <w:r w:rsidRPr="00A96459">
        <w:rPr>
          <w:rFonts w:ascii="Lato-Light" w:hAnsi="Lato-Light" w:cs="Lato-Light"/>
          <w:lang w:val="cs-CZ"/>
        </w:rPr>
        <w:t xml:space="preserve">které </w:t>
      </w:r>
      <w:r w:rsidR="007E179F" w:rsidRPr="00A96459">
        <w:rPr>
          <w:rFonts w:ascii="Lato-Light" w:hAnsi="Lato-Light" w:cs="Lato-Light"/>
          <w:lang w:val="cs-CZ"/>
        </w:rPr>
        <w:t xml:space="preserve">efektivně </w:t>
      </w:r>
      <w:r w:rsidRPr="00A96459">
        <w:rPr>
          <w:rFonts w:ascii="Lato-Light" w:hAnsi="Lato-Light" w:cs="Lato-Light"/>
          <w:lang w:val="cs-CZ"/>
        </w:rPr>
        <w:t>propoj</w:t>
      </w:r>
      <w:r w:rsidR="00303D01" w:rsidRPr="00A96459">
        <w:rPr>
          <w:rFonts w:ascii="Lato-Light" w:hAnsi="Lato-Light" w:cs="Lato-Light"/>
          <w:lang w:val="cs-CZ"/>
        </w:rPr>
        <w:t>uj</w:t>
      </w:r>
      <w:r w:rsidRPr="00A96459">
        <w:rPr>
          <w:rFonts w:ascii="Lato-Light" w:hAnsi="Lato-Light" w:cs="Lato-Light"/>
          <w:lang w:val="cs-CZ"/>
        </w:rPr>
        <w:t>í všechny zúčastněné strany, umož</w:t>
      </w:r>
      <w:r w:rsidR="000346E6" w:rsidRPr="00A96459">
        <w:rPr>
          <w:rFonts w:ascii="Lato-Light" w:hAnsi="Lato-Light" w:cs="Lato-Light"/>
          <w:lang w:val="cs-CZ"/>
        </w:rPr>
        <w:t>ní</w:t>
      </w:r>
      <w:r w:rsidRPr="00A96459">
        <w:rPr>
          <w:rFonts w:ascii="Lato-Light" w:hAnsi="Lato-Light" w:cs="Lato-Light"/>
          <w:lang w:val="cs-CZ"/>
        </w:rPr>
        <w:t xml:space="preserve"> nejen lepší správu změnových </w:t>
      </w:r>
      <w:r w:rsidR="00A96459" w:rsidRPr="00A96459">
        <w:rPr>
          <w:rFonts w:ascii="Lato-Light" w:hAnsi="Lato-Light" w:cs="Lato-Light"/>
          <w:lang w:val="cs-CZ"/>
        </w:rPr>
        <w:t>listů</w:t>
      </w:r>
      <w:r w:rsidRPr="00A96459">
        <w:rPr>
          <w:rFonts w:ascii="Lato-Light" w:hAnsi="Lato-Light" w:cs="Lato-Light"/>
          <w:lang w:val="cs-CZ"/>
        </w:rPr>
        <w:t xml:space="preserve">, ale také </w:t>
      </w:r>
      <w:r w:rsidR="00687F45" w:rsidRPr="00A96459">
        <w:rPr>
          <w:rFonts w:ascii="Lato-Light" w:hAnsi="Lato-Light" w:cs="Lato-Light"/>
          <w:lang w:val="cs-CZ"/>
        </w:rPr>
        <w:t xml:space="preserve">všem zúčastněným stranám </w:t>
      </w:r>
      <w:r w:rsidR="007A7B68" w:rsidRPr="00A96459">
        <w:rPr>
          <w:rFonts w:ascii="Lato-Light" w:hAnsi="Lato-Light" w:cs="Lato-Light"/>
          <w:lang w:val="cs-CZ"/>
        </w:rPr>
        <w:t xml:space="preserve">zajistí </w:t>
      </w:r>
      <w:r w:rsidRPr="00A96459">
        <w:rPr>
          <w:rFonts w:ascii="Lato-Light" w:hAnsi="Lato-Light" w:cs="Lato-Light"/>
          <w:lang w:val="cs-CZ"/>
        </w:rPr>
        <w:t xml:space="preserve">jednotný přístup k informacím. To vše přispívá k větší transparentnosti, </w:t>
      </w:r>
      <w:r w:rsidR="00F85D81" w:rsidRPr="00A96459">
        <w:rPr>
          <w:rFonts w:ascii="Lato-Light" w:hAnsi="Lato-Light" w:cs="Lato-Light"/>
          <w:lang w:val="cs-CZ"/>
        </w:rPr>
        <w:t>lep</w:t>
      </w:r>
      <w:r w:rsidRPr="00A96459">
        <w:rPr>
          <w:rFonts w:ascii="Lato-Light" w:hAnsi="Lato-Light" w:cs="Lato-Light"/>
          <w:lang w:val="cs-CZ"/>
        </w:rPr>
        <w:t xml:space="preserve">ší kvalitě výstavby a </w:t>
      </w:r>
      <w:r w:rsidR="00AE4CB8" w:rsidRPr="00A96459">
        <w:rPr>
          <w:rFonts w:ascii="Lato-Light" w:hAnsi="Lato-Light" w:cs="Lato-Light"/>
          <w:lang w:val="cs-CZ"/>
        </w:rPr>
        <w:t>tím i k</w:t>
      </w:r>
      <w:r w:rsidR="009A3EBB" w:rsidRPr="00A96459">
        <w:rPr>
          <w:rFonts w:ascii="Lato-Light" w:hAnsi="Lato-Light" w:cs="Lato-Light"/>
          <w:lang w:val="cs-CZ"/>
        </w:rPr>
        <w:t xml:space="preserve"> obchodnímu úspěchu </w:t>
      </w:r>
      <w:r w:rsidRPr="00A96459">
        <w:rPr>
          <w:rFonts w:ascii="Lato-Light" w:hAnsi="Lato-Light" w:cs="Lato-Light"/>
          <w:lang w:val="cs-CZ"/>
        </w:rPr>
        <w:t xml:space="preserve">projektů. </w:t>
      </w:r>
      <w:r w:rsidR="008A33E0" w:rsidRPr="00A96459">
        <w:rPr>
          <w:rFonts w:ascii="Lato-Light" w:hAnsi="Lato-Light" w:cs="Lato-Light"/>
          <w:lang w:val="cs-CZ"/>
        </w:rPr>
        <w:t>„</w:t>
      </w:r>
      <w:r w:rsidR="008A33E0" w:rsidRPr="00A96459">
        <w:rPr>
          <w:rFonts w:ascii="Lato-Light" w:hAnsi="Lato-Light" w:cs="Lato-Light"/>
          <w:i/>
          <w:iCs/>
          <w:lang w:val="cs-CZ"/>
        </w:rPr>
        <w:t xml:space="preserve">Efektivní komunikace je základem každého </w:t>
      </w:r>
      <w:r w:rsidR="00915623" w:rsidRPr="00A96459">
        <w:rPr>
          <w:rFonts w:ascii="Lato-Light" w:hAnsi="Lato-Light" w:cs="Lato-Light"/>
          <w:i/>
          <w:iCs/>
          <w:lang w:val="cs-CZ"/>
        </w:rPr>
        <w:t>zdařilého</w:t>
      </w:r>
      <w:r w:rsidR="008A33E0" w:rsidRPr="00A96459">
        <w:rPr>
          <w:rFonts w:ascii="Lato-Light" w:hAnsi="Lato-Light" w:cs="Lato-Light"/>
          <w:i/>
          <w:iCs/>
          <w:lang w:val="cs-CZ"/>
        </w:rPr>
        <w:t xml:space="preserve"> projektu. A v</w:t>
      </w:r>
      <w:r w:rsidRPr="00A96459">
        <w:rPr>
          <w:rFonts w:ascii="Lato-Light" w:hAnsi="Lato-Light" w:cs="Lato-Light"/>
          <w:i/>
          <w:iCs/>
          <w:lang w:val="cs-CZ"/>
        </w:rPr>
        <w:t>e stavebnictví to platí dvojnásob</w:t>
      </w:r>
      <w:r w:rsidR="008A33E0" w:rsidRPr="00A96459">
        <w:rPr>
          <w:rFonts w:ascii="Lato-Light" w:hAnsi="Lato-Light" w:cs="Lato-Light"/>
          <w:i/>
          <w:iCs/>
          <w:lang w:val="cs-CZ"/>
        </w:rPr>
        <w:t xml:space="preserve">,“ </w:t>
      </w:r>
      <w:r w:rsidR="008A33E0" w:rsidRPr="00A96459">
        <w:rPr>
          <w:rFonts w:ascii="Lato-Light" w:hAnsi="Lato-Light" w:cs="Lato-Light"/>
          <w:lang w:val="cs-CZ"/>
        </w:rPr>
        <w:t xml:space="preserve">uzavírá </w:t>
      </w:r>
      <w:r w:rsidR="008A33E0" w:rsidRPr="00A96459">
        <w:rPr>
          <w:rFonts w:ascii="Lato-Light" w:hAnsi="Lato-Light" w:cs="Lato-Light"/>
          <w:b/>
          <w:bCs/>
          <w:lang w:val="cs-CZ"/>
        </w:rPr>
        <w:t>Adam Heres Vostárek.</w:t>
      </w:r>
      <w:r w:rsidR="008A33E0" w:rsidRPr="00A96459">
        <w:rPr>
          <w:rFonts w:ascii="Lato-Light" w:hAnsi="Lato-Light" w:cs="Lato-Light"/>
          <w:lang w:val="cs-CZ"/>
        </w:rPr>
        <w:t xml:space="preserve"> </w:t>
      </w:r>
    </w:p>
    <w:p w14:paraId="518B984F" w14:textId="77777777" w:rsidR="0093150F" w:rsidRPr="00A96459" w:rsidRDefault="0093150F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</w:p>
    <w:p w14:paraId="3CD08221" w14:textId="77777777" w:rsidR="0093150F" w:rsidRPr="00A96459" w:rsidRDefault="0093150F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</w:p>
    <w:p w14:paraId="3D38D2E4" w14:textId="77777777" w:rsidR="0093150F" w:rsidRPr="00A96459" w:rsidRDefault="0093150F" w:rsidP="0063724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-CZ"/>
        </w:rPr>
      </w:pPr>
    </w:p>
    <w:p w14:paraId="4160C63C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b/>
          <w:bCs/>
          <w:sz w:val="20"/>
          <w:szCs w:val="20"/>
        </w:rPr>
        <w:t>Pro více informací kontaktujte:</w:t>
      </w:r>
      <w:r w:rsidRPr="00A96459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38A1D479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Crest Communications, a.s.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3360F648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Denisa Kolaříková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29D4F735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Account Manager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6A1C77EE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Gsm: +420 731 613 606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6131D0D5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E-mail: </w:t>
      </w:r>
      <w:hyperlink r:id="rId11" w:tgtFrame="_blank" w:history="1">
        <w:r w:rsidRPr="00A96459">
          <w:rPr>
            <w:rStyle w:val="normaltextrun"/>
            <w:rFonts w:ascii="Lato-Light" w:hAnsi="Lato-Light" w:cs="Segoe UI"/>
            <w:color w:val="0000FF"/>
            <w:sz w:val="20"/>
            <w:szCs w:val="20"/>
            <w:u w:val="single"/>
          </w:rPr>
          <w:t>denisa.kolarikova@crestcom.cz</w:t>
        </w:r>
      </w:hyperlink>
      <w:r w:rsidRPr="00A96459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4F256062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hyperlink r:id="rId12" w:tgtFrame="_blank" w:history="1">
        <w:r w:rsidRPr="00A96459">
          <w:rPr>
            <w:rStyle w:val="normaltextrun"/>
            <w:rFonts w:ascii="Lato-Light" w:hAnsi="Lato-Light" w:cs="Segoe UI"/>
            <w:color w:val="0000FF"/>
            <w:sz w:val="20"/>
            <w:szCs w:val="20"/>
            <w:u w:val="single"/>
          </w:rPr>
          <w:t>www.crestcom.cz</w:t>
        </w:r>
      </w:hyperlink>
      <w:r w:rsidRPr="00A96459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67EF63BE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65D26F8D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Tereza Štosová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550E53E8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Account Executive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21B5C366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Gsm: +420 778 495 239 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5515EAE8" w14:textId="77777777" w:rsidR="00637240" w:rsidRPr="00A96459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>E-mail: </w:t>
      </w:r>
      <w:hyperlink r:id="rId13" w:tgtFrame="_blank" w:history="1">
        <w:r w:rsidRPr="00A96459">
          <w:rPr>
            <w:rStyle w:val="normaltextrun"/>
            <w:rFonts w:ascii="Lato-Light" w:hAnsi="Lato-Light" w:cs="Segoe UI"/>
            <w:color w:val="0000FF"/>
            <w:sz w:val="20"/>
            <w:szCs w:val="20"/>
            <w:u w:val="single"/>
          </w:rPr>
          <w:t>tereza.stosova@crestcom.cz</w:t>
        </w:r>
      </w:hyperlink>
      <w:r w:rsidRPr="00A96459">
        <w:rPr>
          <w:rStyle w:val="normaltextrun"/>
          <w:rFonts w:ascii="Lato-Light" w:hAnsi="Lato-Light" w:cs="Segoe UI"/>
          <w:color w:val="0000FF"/>
          <w:sz w:val="20"/>
          <w:szCs w:val="20"/>
        </w:rPr>
        <w:t> </w:t>
      </w:r>
      <w:r w:rsidRPr="00A96459">
        <w:rPr>
          <w:rStyle w:val="eop"/>
          <w:rFonts w:ascii="Lato-Light" w:hAnsi="Lato-Light" w:cs="Segoe UI"/>
          <w:color w:val="0000FF"/>
          <w:sz w:val="20"/>
          <w:szCs w:val="20"/>
        </w:rPr>
        <w:t> </w:t>
      </w:r>
    </w:p>
    <w:p w14:paraId="44E1B1BA" w14:textId="77777777" w:rsidR="00637240" w:rsidRPr="00A96459" w:rsidRDefault="00637240" w:rsidP="00637240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216C188B" w14:textId="77777777" w:rsidR="00637240" w:rsidRPr="00A96459" w:rsidRDefault="00637240" w:rsidP="00637240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b/>
          <w:bCs/>
          <w:sz w:val="20"/>
          <w:szCs w:val="20"/>
        </w:rPr>
        <w:lastRenderedPageBreak/>
        <w:t>O PlanRadaru</w:t>
      </w:r>
      <w:r w:rsidRPr="00A96459">
        <w:rPr>
          <w:rStyle w:val="eop"/>
          <w:rFonts w:ascii="Lato-Light" w:hAnsi="Lato-Light" w:cs="Segoe UI"/>
          <w:sz w:val="20"/>
          <w:szCs w:val="20"/>
        </w:rPr>
        <w:t> </w:t>
      </w:r>
    </w:p>
    <w:p w14:paraId="4AF65C85" w14:textId="053E3028" w:rsidR="00637240" w:rsidRPr="00637240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A96459">
        <w:rPr>
          <w:rStyle w:val="normaltextrun"/>
          <w:rFonts w:ascii="Lato-Light" w:hAnsi="Lato-Light" w:cs="Segoe UI"/>
          <w:sz w:val="20"/>
          <w:szCs w:val="20"/>
        </w:rPr>
        <w:t xml:space="preserve">PlanRadar je oceňovaná digitální platforma na bázi SaaS (z anglického “Software as a Service”) pro dokumentaci, komunikaci a reporting během výstavby a správy nemovitostí. Platforma funguje po celém světě, v současnosti na více než 75 trzích. PlanRadar zjednodušuje každodenní procesy a komunikaci v uživatelsky přátelské digitální platformě, která propojuje všechny zúčastněné strany na projektu a poskytuje přístup k relevantním informacím v 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PlanRadar používá více než 170 000 profesionálů ke sledování, sdílení a řešení problémů, ať už přímo na místě anebo připojením na dálku. Aktuálně je k dispozici ve více než 25 jazycích a lze jej používat na všech zařízeních iOS, Windows a Android. Společnost PlanRadar se sídlem ve Vídni v Rakousku má 13 poboček po celém světě. Více o společnosti se dozvíte na </w:t>
      </w:r>
      <w:hyperlink r:id="rId14" w:tgtFrame="_blank" w:history="1">
        <w:r w:rsidRPr="00A96459">
          <w:rPr>
            <w:rStyle w:val="normaltextrun"/>
            <w:rFonts w:ascii="Lato-Light" w:hAnsi="Lato-Light" w:cs="Segoe UI"/>
            <w:color w:val="0563C1"/>
            <w:sz w:val="20"/>
            <w:szCs w:val="20"/>
            <w:u w:val="single"/>
          </w:rPr>
          <w:t>http://www.planradar.com/cz/</w:t>
        </w:r>
      </w:hyperlink>
      <w:r w:rsidRPr="00A96459">
        <w:rPr>
          <w:rStyle w:val="normaltextrun"/>
          <w:rFonts w:ascii="Lato-Light" w:hAnsi="Lato-Light" w:cs="Segoe UI"/>
          <w:sz w:val="20"/>
          <w:szCs w:val="20"/>
        </w:rPr>
        <w:t>.</w:t>
      </w:r>
      <w:r w:rsidRPr="00637240">
        <w:rPr>
          <w:rStyle w:val="eop"/>
          <w:rFonts w:ascii="Lato-Light" w:hAnsi="Lato-Light" w:cs="Segoe UI"/>
          <w:sz w:val="20"/>
          <w:szCs w:val="20"/>
        </w:rPr>
        <w:t> </w:t>
      </w:r>
    </w:p>
    <w:p w14:paraId="684833DB" w14:textId="77777777" w:rsidR="00637240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" w:hAnsi="Lato" w:cs="Segoe UI"/>
          <w:sz w:val="20"/>
          <w:szCs w:val="20"/>
        </w:rPr>
        <w:t> </w:t>
      </w:r>
    </w:p>
    <w:p w14:paraId="6A5113B9" w14:textId="77777777" w:rsidR="00637240" w:rsidRPr="00637240" w:rsidRDefault="00637240" w:rsidP="00637240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cs-CZ"/>
        </w:rPr>
      </w:pPr>
    </w:p>
    <w:sectPr w:rsidR="00637240" w:rsidRPr="00637240" w:rsidSect="000440C0">
      <w:headerReference w:type="default" r:id="rId15"/>
      <w:footerReference w:type="even" r:id="rId16"/>
      <w:footerReference w:type="default" r:id="rId17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1DA5" w14:textId="77777777" w:rsidR="000514FA" w:rsidRDefault="000514FA" w:rsidP="009A693A">
      <w:r>
        <w:separator/>
      </w:r>
    </w:p>
  </w:endnote>
  <w:endnote w:type="continuationSeparator" w:id="0">
    <w:p w14:paraId="4980176F" w14:textId="77777777" w:rsidR="000514FA" w:rsidRDefault="000514FA" w:rsidP="009A693A">
      <w:r>
        <w:continuationSeparator/>
      </w:r>
    </w:p>
  </w:endnote>
  <w:endnote w:type="continuationNotice" w:id="1">
    <w:p w14:paraId="478CD799" w14:textId="77777777" w:rsidR="000514FA" w:rsidRDefault="00051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F674" w14:textId="77777777" w:rsidR="000514FA" w:rsidRDefault="000514FA" w:rsidP="009A693A">
      <w:r>
        <w:separator/>
      </w:r>
    </w:p>
  </w:footnote>
  <w:footnote w:type="continuationSeparator" w:id="0">
    <w:p w14:paraId="36E59605" w14:textId="77777777" w:rsidR="000514FA" w:rsidRDefault="000514FA" w:rsidP="009A693A">
      <w:r>
        <w:continuationSeparator/>
      </w:r>
    </w:p>
  </w:footnote>
  <w:footnote w:type="continuationNotice" w:id="1">
    <w:p w14:paraId="74E7BB11" w14:textId="77777777" w:rsidR="000514FA" w:rsidRDefault="000514FA"/>
  </w:footnote>
  <w:footnote w:id="2">
    <w:p w14:paraId="7D5DDA24" w14:textId="77777777" w:rsidR="00863B56" w:rsidRPr="00863B56" w:rsidRDefault="00863B56" w:rsidP="00863B5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FA5AEB">
          <w:rPr>
            <w:rStyle w:val="Hypertextovodkaz"/>
          </w:rPr>
          <w:t>https://www.planradar.com/cs/ebooks/naklady-na-predelavky/</w:t>
        </w:r>
      </w:hyperlink>
      <w:r>
        <w:t xml:space="preserve"> </w:t>
      </w:r>
    </w:p>
  </w:footnote>
  <w:footnote w:id="3">
    <w:p w14:paraId="34368414" w14:textId="47358762" w:rsidR="00392380" w:rsidRPr="00392380" w:rsidRDefault="0039238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E6A70">
        <w:rPr>
          <w:lang w:val="cs-CZ"/>
        </w:rPr>
        <w:t xml:space="preserve"> </w:t>
      </w:r>
      <w:hyperlink r:id="rId2" w:history="1">
        <w:r w:rsidRPr="00DE6A70">
          <w:rPr>
            <w:rStyle w:val="Hypertextovodkaz"/>
            <w:lang w:val="cs-CZ"/>
          </w:rPr>
          <w:t>https://imaterialy.cz/rubriky/legislativa/smluvni-pokuta-ve-stavebni-smlouve-o-dilo/</w:t>
        </w:r>
      </w:hyperlink>
      <w:r w:rsidRPr="00DE6A70">
        <w:rPr>
          <w:lang w:val="cs-CZ"/>
        </w:rPr>
        <w:t xml:space="preserve"> </w:t>
      </w:r>
    </w:p>
  </w:footnote>
  <w:footnote w:id="4">
    <w:p w14:paraId="110C2A6E" w14:textId="6F5E2A00" w:rsidR="0052711D" w:rsidRPr="0052711D" w:rsidRDefault="0052711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E7033E" w:rsidRPr="00E7033E">
        <w:rPr>
          <w:lang w:val="cs-CZ"/>
        </w:rPr>
        <w:t>Mezinárodní federace konzultačních inženýrů</w:t>
      </w:r>
      <w:r w:rsidR="00E7033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163EA"/>
    <w:rsid w:val="00023574"/>
    <w:rsid w:val="00025808"/>
    <w:rsid w:val="00027A16"/>
    <w:rsid w:val="000346E6"/>
    <w:rsid w:val="00042477"/>
    <w:rsid w:val="000440C0"/>
    <w:rsid w:val="000514FA"/>
    <w:rsid w:val="00054AA4"/>
    <w:rsid w:val="00056BDF"/>
    <w:rsid w:val="00080004"/>
    <w:rsid w:val="000A20A4"/>
    <w:rsid w:val="000B6D94"/>
    <w:rsid w:val="000C10B5"/>
    <w:rsid w:val="000D08C4"/>
    <w:rsid w:val="000D3B9B"/>
    <w:rsid w:val="000E65EE"/>
    <w:rsid w:val="000F2D82"/>
    <w:rsid w:val="00106E5D"/>
    <w:rsid w:val="00132D66"/>
    <w:rsid w:val="00135D96"/>
    <w:rsid w:val="0014136A"/>
    <w:rsid w:val="00143E0A"/>
    <w:rsid w:val="00146C0E"/>
    <w:rsid w:val="0016191C"/>
    <w:rsid w:val="001632B6"/>
    <w:rsid w:val="0016562F"/>
    <w:rsid w:val="00180D20"/>
    <w:rsid w:val="001A0533"/>
    <w:rsid w:val="001A553A"/>
    <w:rsid w:val="001A6F09"/>
    <w:rsid w:val="001C0047"/>
    <w:rsid w:val="001C0446"/>
    <w:rsid w:val="001C2E55"/>
    <w:rsid w:val="002020A5"/>
    <w:rsid w:val="00202D76"/>
    <w:rsid w:val="00204F8B"/>
    <w:rsid w:val="00215A86"/>
    <w:rsid w:val="00222A25"/>
    <w:rsid w:val="00231C14"/>
    <w:rsid w:val="002341A1"/>
    <w:rsid w:val="0024636F"/>
    <w:rsid w:val="00260196"/>
    <w:rsid w:val="00262E2F"/>
    <w:rsid w:val="0027030D"/>
    <w:rsid w:val="00271B47"/>
    <w:rsid w:val="0027430B"/>
    <w:rsid w:val="00283740"/>
    <w:rsid w:val="0029149F"/>
    <w:rsid w:val="00292932"/>
    <w:rsid w:val="00295DBB"/>
    <w:rsid w:val="002A3F1F"/>
    <w:rsid w:val="002A60D7"/>
    <w:rsid w:val="002C37A6"/>
    <w:rsid w:val="002C6392"/>
    <w:rsid w:val="002D485F"/>
    <w:rsid w:val="002D70DE"/>
    <w:rsid w:val="002E3521"/>
    <w:rsid w:val="002F1AA0"/>
    <w:rsid w:val="002F76E9"/>
    <w:rsid w:val="0030233F"/>
    <w:rsid w:val="00303D01"/>
    <w:rsid w:val="00322722"/>
    <w:rsid w:val="00330030"/>
    <w:rsid w:val="0033184F"/>
    <w:rsid w:val="00332F05"/>
    <w:rsid w:val="00337C86"/>
    <w:rsid w:val="00353EBF"/>
    <w:rsid w:val="00361B96"/>
    <w:rsid w:val="00364F9E"/>
    <w:rsid w:val="0037003B"/>
    <w:rsid w:val="003701A0"/>
    <w:rsid w:val="003704B5"/>
    <w:rsid w:val="00372331"/>
    <w:rsid w:val="00372AAD"/>
    <w:rsid w:val="0037392D"/>
    <w:rsid w:val="00384521"/>
    <w:rsid w:val="00390B25"/>
    <w:rsid w:val="00392380"/>
    <w:rsid w:val="003B0A95"/>
    <w:rsid w:val="003B6B64"/>
    <w:rsid w:val="003C6962"/>
    <w:rsid w:val="003E62B5"/>
    <w:rsid w:val="003E77A6"/>
    <w:rsid w:val="003F1B35"/>
    <w:rsid w:val="00415C20"/>
    <w:rsid w:val="00417B18"/>
    <w:rsid w:val="00425763"/>
    <w:rsid w:val="0043130B"/>
    <w:rsid w:val="0044007A"/>
    <w:rsid w:val="00473FBE"/>
    <w:rsid w:val="0047424D"/>
    <w:rsid w:val="00482BFB"/>
    <w:rsid w:val="00491223"/>
    <w:rsid w:val="0049514D"/>
    <w:rsid w:val="0049784A"/>
    <w:rsid w:val="004B2E05"/>
    <w:rsid w:val="004D5D92"/>
    <w:rsid w:val="004E13A0"/>
    <w:rsid w:val="004F1920"/>
    <w:rsid w:val="00514F0E"/>
    <w:rsid w:val="00522C31"/>
    <w:rsid w:val="00525CD1"/>
    <w:rsid w:val="0052711D"/>
    <w:rsid w:val="00550ECF"/>
    <w:rsid w:val="00554120"/>
    <w:rsid w:val="00570386"/>
    <w:rsid w:val="005710BA"/>
    <w:rsid w:val="00575E15"/>
    <w:rsid w:val="005768B5"/>
    <w:rsid w:val="00593D09"/>
    <w:rsid w:val="005A111A"/>
    <w:rsid w:val="005B6CAE"/>
    <w:rsid w:val="005D2C97"/>
    <w:rsid w:val="005D2E1D"/>
    <w:rsid w:val="005D4E1E"/>
    <w:rsid w:val="005E3369"/>
    <w:rsid w:val="005F2AA8"/>
    <w:rsid w:val="005F3831"/>
    <w:rsid w:val="006024BD"/>
    <w:rsid w:val="0060622F"/>
    <w:rsid w:val="00610038"/>
    <w:rsid w:val="00610C0E"/>
    <w:rsid w:val="00636156"/>
    <w:rsid w:val="00637240"/>
    <w:rsid w:val="00660323"/>
    <w:rsid w:val="00681D08"/>
    <w:rsid w:val="00687F45"/>
    <w:rsid w:val="00694AD1"/>
    <w:rsid w:val="00697C3D"/>
    <w:rsid w:val="006A5026"/>
    <w:rsid w:val="006B3624"/>
    <w:rsid w:val="006C4DF9"/>
    <w:rsid w:val="006D2F69"/>
    <w:rsid w:val="006E59FF"/>
    <w:rsid w:val="0070338D"/>
    <w:rsid w:val="00714E6E"/>
    <w:rsid w:val="00720BE7"/>
    <w:rsid w:val="00734879"/>
    <w:rsid w:val="00736A46"/>
    <w:rsid w:val="00740DD8"/>
    <w:rsid w:val="0074685A"/>
    <w:rsid w:val="00751345"/>
    <w:rsid w:val="00765F46"/>
    <w:rsid w:val="007812E0"/>
    <w:rsid w:val="007857F4"/>
    <w:rsid w:val="007A3280"/>
    <w:rsid w:val="007A532D"/>
    <w:rsid w:val="007A7B68"/>
    <w:rsid w:val="007A7DE7"/>
    <w:rsid w:val="007B173B"/>
    <w:rsid w:val="007C51F8"/>
    <w:rsid w:val="007E179F"/>
    <w:rsid w:val="007E1F20"/>
    <w:rsid w:val="007E31F5"/>
    <w:rsid w:val="007E52EE"/>
    <w:rsid w:val="00801C22"/>
    <w:rsid w:val="00802405"/>
    <w:rsid w:val="00805054"/>
    <w:rsid w:val="00810F11"/>
    <w:rsid w:val="00862F81"/>
    <w:rsid w:val="00863B56"/>
    <w:rsid w:val="0087287F"/>
    <w:rsid w:val="0088703A"/>
    <w:rsid w:val="0089781B"/>
    <w:rsid w:val="008A33E0"/>
    <w:rsid w:val="008B0299"/>
    <w:rsid w:val="008B32B9"/>
    <w:rsid w:val="008C75C2"/>
    <w:rsid w:val="008D3170"/>
    <w:rsid w:val="008F7266"/>
    <w:rsid w:val="009141F4"/>
    <w:rsid w:val="00915623"/>
    <w:rsid w:val="00915AA0"/>
    <w:rsid w:val="00921058"/>
    <w:rsid w:val="009268DA"/>
    <w:rsid w:val="0093150F"/>
    <w:rsid w:val="00944184"/>
    <w:rsid w:val="00957A56"/>
    <w:rsid w:val="00965280"/>
    <w:rsid w:val="00973A3F"/>
    <w:rsid w:val="0097637F"/>
    <w:rsid w:val="009838B1"/>
    <w:rsid w:val="009951AC"/>
    <w:rsid w:val="009A3053"/>
    <w:rsid w:val="009A3EBB"/>
    <w:rsid w:val="009A693A"/>
    <w:rsid w:val="009B58EE"/>
    <w:rsid w:val="009C420D"/>
    <w:rsid w:val="009C44D7"/>
    <w:rsid w:val="009F09AE"/>
    <w:rsid w:val="00A179AE"/>
    <w:rsid w:val="00A21687"/>
    <w:rsid w:val="00A2356E"/>
    <w:rsid w:val="00A23A12"/>
    <w:rsid w:val="00A27052"/>
    <w:rsid w:val="00A34744"/>
    <w:rsid w:val="00A40D30"/>
    <w:rsid w:val="00A47BC9"/>
    <w:rsid w:val="00A53691"/>
    <w:rsid w:val="00A54EB7"/>
    <w:rsid w:val="00A57CD1"/>
    <w:rsid w:val="00A763E6"/>
    <w:rsid w:val="00A83F32"/>
    <w:rsid w:val="00A86C39"/>
    <w:rsid w:val="00A96459"/>
    <w:rsid w:val="00A971FF"/>
    <w:rsid w:val="00AA2308"/>
    <w:rsid w:val="00AA630F"/>
    <w:rsid w:val="00AC093F"/>
    <w:rsid w:val="00AC21F3"/>
    <w:rsid w:val="00AE4CB8"/>
    <w:rsid w:val="00AE6931"/>
    <w:rsid w:val="00B2146E"/>
    <w:rsid w:val="00B25ABB"/>
    <w:rsid w:val="00B30EC4"/>
    <w:rsid w:val="00B34F6D"/>
    <w:rsid w:val="00B36196"/>
    <w:rsid w:val="00B47701"/>
    <w:rsid w:val="00B537B6"/>
    <w:rsid w:val="00B70F2F"/>
    <w:rsid w:val="00B76120"/>
    <w:rsid w:val="00B9441A"/>
    <w:rsid w:val="00BE7084"/>
    <w:rsid w:val="00BE79F0"/>
    <w:rsid w:val="00BF0385"/>
    <w:rsid w:val="00BF71A0"/>
    <w:rsid w:val="00C00027"/>
    <w:rsid w:val="00C139AE"/>
    <w:rsid w:val="00C210E0"/>
    <w:rsid w:val="00C2530E"/>
    <w:rsid w:val="00C30FD5"/>
    <w:rsid w:val="00C322AA"/>
    <w:rsid w:val="00C40081"/>
    <w:rsid w:val="00C40682"/>
    <w:rsid w:val="00C418D9"/>
    <w:rsid w:val="00C4250E"/>
    <w:rsid w:val="00C43CE2"/>
    <w:rsid w:val="00C56403"/>
    <w:rsid w:val="00C6242C"/>
    <w:rsid w:val="00C6420A"/>
    <w:rsid w:val="00C7523D"/>
    <w:rsid w:val="00C83962"/>
    <w:rsid w:val="00C93E93"/>
    <w:rsid w:val="00C97777"/>
    <w:rsid w:val="00CA013C"/>
    <w:rsid w:val="00CA1B23"/>
    <w:rsid w:val="00CA58E6"/>
    <w:rsid w:val="00CC0FEC"/>
    <w:rsid w:val="00CC47F2"/>
    <w:rsid w:val="00CC5B6F"/>
    <w:rsid w:val="00CD14C4"/>
    <w:rsid w:val="00CD5224"/>
    <w:rsid w:val="00CD5AE0"/>
    <w:rsid w:val="00CD77A5"/>
    <w:rsid w:val="00CE598B"/>
    <w:rsid w:val="00CF0A3E"/>
    <w:rsid w:val="00CF1A0B"/>
    <w:rsid w:val="00CF2257"/>
    <w:rsid w:val="00D02EF9"/>
    <w:rsid w:val="00D067C2"/>
    <w:rsid w:val="00D1042D"/>
    <w:rsid w:val="00D11CA7"/>
    <w:rsid w:val="00D12FF7"/>
    <w:rsid w:val="00D3645B"/>
    <w:rsid w:val="00D45DDF"/>
    <w:rsid w:val="00D54713"/>
    <w:rsid w:val="00D80BA6"/>
    <w:rsid w:val="00D81B9A"/>
    <w:rsid w:val="00D84201"/>
    <w:rsid w:val="00D8691D"/>
    <w:rsid w:val="00D9321A"/>
    <w:rsid w:val="00DA37B9"/>
    <w:rsid w:val="00DA73BE"/>
    <w:rsid w:val="00DB090A"/>
    <w:rsid w:val="00DC1466"/>
    <w:rsid w:val="00DC4A37"/>
    <w:rsid w:val="00DC7502"/>
    <w:rsid w:val="00DD2B2C"/>
    <w:rsid w:val="00DE35B2"/>
    <w:rsid w:val="00DE56BF"/>
    <w:rsid w:val="00DE6A70"/>
    <w:rsid w:val="00DE6CC4"/>
    <w:rsid w:val="00DF10A0"/>
    <w:rsid w:val="00E168DE"/>
    <w:rsid w:val="00E3243E"/>
    <w:rsid w:val="00E32A96"/>
    <w:rsid w:val="00E44EF4"/>
    <w:rsid w:val="00E47B6E"/>
    <w:rsid w:val="00E47FC2"/>
    <w:rsid w:val="00E57482"/>
    <w:rsid w:val="00E65BE4"/>
    <w:rsid w:val="00E661A8"/>
    <w:rsid w:val="00E7033E"/>
    <w:rsid w:val="00E81A4C"/>
    <w:rsid w:val="00E92DF9"/>
    <w:rsid w:val="00EB0413"/>
    <w:rsid w:val="00EB0788"/>
    <w:rsid w:val="00EB0ED0"/>
    <w:rsid w:val="00EB3EB6"/>
    <w:rsid w:val="00EE011B"/>
    <w:rsid w:val="00EF6C05"/>
    <w:rsid w:val="00F14723"/>
    <w:rsid w:val="00F17A21"/>
    <w:rsid w:val="00F213C5"/>
    <w:rsid w:val="00F36292"/>
    <w:rsid w:val="00F41588"/>
    <w:rsid w:val="00F51787"/>
    <w:rsid w:val="00F56335"/>
    <w:rsid w:val="00F85D81"/>
    <w:rsid w:val="00F912AD"/>
    <w:rsid w:val="00F92141"/>
    <w:rsid w:val="00F92B74"/>
    <w:rsid w:val="00FA1B39"/>
    <w:rsid w:val="00FB0218"/>
    <w:rsid w:val="00FB5DC7"/>
    <w:rsid w:val="00FC0476"/>
    <w:rsid w:val="00FC4647"/>
    <w:rsid w:val="00FC699F"/>
    <w:rsid w:val="00FD3280"/>
    <w:rsid w:val="00FD7C27"/>
    <w:rsid w:val="00FE0583"/>
    <w:rsid w:val="00FF4D21"/>
    <w:rsid w:val="0C27CA2B"/>
    <w:rsid w:val="203B7F5A"/>
    <w:rsid w:val="28DAAC3A"/>
    <w:rsid w:val="30F00BEC"/>
    <w:rsid w:val="40A453C5"/>
    <w:rsid w:val="4ED5A4C9"/>
    <w:rsid w:val="54329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54036EEF-1697-45CE-A860-0981E0A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radar.com/cz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materialy.cz/rubriky/legislativa/smluvni-pokuta-ve-stavebni-smlouve-o-dilo/" TargetMode="External"/><Relationship Id="rId1" Type="http://schemas.openxmlformats.org/officeDocument/2006/relationships/hyperlink" Target="https://www.planradar.com/cs/ebooks/naklady-na-predelavk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F5C79-7351-4127-936B-FBA0CA187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8c12310-cec0-45af-89e4-4278154c9cc2"/>
    <ds:schemaRef ds:uri="http://schemas.openxmlformats.org/package/2006/metadata/core-properties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2</TotalTime>
  <Pages>4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2</cp:revision>
  <cp:lastPrinted>2024-12-18T07:30:00Z</cp:lastPrinted>
  <dcterms:created xsi:type="dcterms:W3CDTF">2024-12-19T09:29:00Z</dcterms:created>
  <dcterms:modified xsi:type="dcterms:W3CDTF">2024-12-19T09:29:00Z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